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192" w:rsidRPr="00113E15" w:rsidRDefault="007B5D79" w:rsidP="00113E15">
      <w:pPr>
        <w:pStyle w:val="NoSpacing"/>
        <w:pBdr>
          <w:bottom w:val="single" w:sz="4" w:space="1" w:color="auto"/>
        </w:pBdr>
        <w:rPr>
          <w:rFonts w:asciiTheme="majorHAnsi" w:hAnsiTheme="majorHAnsi"/>
          <w:b/>
          <w:color w:val="002060"/>
          <w:sz w:val="36"/>
          <w:szCs w:val="36"/>
        </w:rPr>
      </w:pPr>
      <w:r w:rsidRPr="00113E15">
        <w:rPr>
          <w:rFonts w:asciiTheme="majorHAnsi" w:hAnsiTheme="majorHAnsi"/>
          <w:b/>
          <w:color w:val="002060"/>
          <w:sz w:val="36"/>
          <w:szCs w:val="36"/>
        </w:rPr>
        <w:t>Marico Limited (NSE: MARICO)</w:t>
      </w:r>
    </w:p>
    <w:p w:rsidR="006367A3" w:rsidRPr="006367A3" w:rsidRDefault="006367A3" w:rsidP="007B5D79">
      <w:pPr>
        <w:pStyle w:val="NoSpacing"/>
        <w:rPr>
          <w:rFonts w:asciiTheme="majorHAnsi" w:hAnsiTheme="majorHAnsi"/>
          <w:u w:val="single"/>
        </w:rPr>
      </w:pPr>
      <w:r w:rsidRPr="006367A3">
        <w:rPr>
          <w:rFonts w:asciiTheme="majorHAnsi" w:hAnsiTheme="majorHAnsi"/>
          <w:u w:val="single"/>
        </w:rPr>
        <w:t>Summary:</w:t>
      </w:r>
    </w:p>
    <w:p w:rsidR="006367A3" w:rsidRPr="006367A3" w:rsidRDefault="006367A3" w:rsidP="006367A3">
      <w:pPr>
        <w:pStyle w:val="NoSpacing"/>
        <w:numPr>
          <w:ilvl w:val="0"/>
          <w:numId w:val="3"/>
        </w:numPr>
        <w:ind w:left="180" w:hanging="180"/>
        <w:rPr>
          <w:rFonts w:asciiTheme="majorHAnsi" w:hAnsiTheme="majorHAnsi"/>
        </w:rPr>
      </w:pPr>
      <w:r w:rsidRPr="006367A3">
        <w:rPr>
          <w:rFonts w:asciiTheme="majorHAnsi" w:hAnsiTheme="majorHAnsi"/>
        </w:rPr>
        <w:t>Over the past 5 years, top line and bottom line have grown at a CAGR of 18% and 15% respectively</w:t>
      </w:r>
    </w:p>
    <w:p w:rsidR="006367A3" w:rsidRPr="006367A3" w:rsidRDefault="006367A3" w:rsidP="006367A3">
      <w:pPr>
        <w:pStyle w:val="NoSpacing"/>
        <w:numPr>
          <w:ilvl w:val="0"/>
          <w:numId w:val="3"/>
        </w:numPr>
        <w:ind w:left="180" w:hanging="180"/>
        <w:rPr>
          <w:rFonts w:asciiTheme="majorHAnsi" w:hAnsiTheme="majorHAnsi"/>
        </w:rPr>
      </w:pPr>
      <w:r w:rsidRPr="006367A3">
        <w:rPr>
          <w:rFonts w:asciiTheme="majorHAnsi" w:hAnsiTheme="majorHAnsi"/>
        </w:rPr>
        <w:t xml:space="preserve">The company has 57% market share in Coconut oil in India through its brands Parachute, </w:t>
      </w:r>
      <w:proofErr w:type="spellStart"/>
      <w:r w:rsidRPr="006367A3">
        <w:rPr>
          <w:rFonts w:asciiTheme="majorHAnsi" w:hAnsiTheme="majorHAnsi"/>
        </w:rPr>
        <w:t>Nihar</w:t>
      </w:r>
      <w:proofErr w:type="spellEnd"/>
      <w:r w:rsidRPr="006367A3">
        <w:rPr>
          <w:rFonts w:asciiTheme="majorHAnsi" w:hAnsiTheme="majorHAnsi"/>
        </w:rPr>
        <w:t xml:space="preserve"> and Oil of Malabar.</w:t>
      </w:r>
    </w:p>
    <w:p w:rsidR="006367A3" w:rsidRPr="006367A3" w:rsidRDefault="006367A3" w:rsidP="006367A3">
      <w:pPr>
        <w:pStyle w:val="NoSpacing"/>
        <w:numPr>
          <w:ilvl w:val="0"/>
          <w:numId w:val="3"/>
        </w:numPr>
        <w:ind w:left="180" w:hanging="180"/>
        <w:rPr>
          <w:rFonts w:asciiTheme="majorHAnsi" w:hAnsiTheme="majorHAnsi"/>
        </w:rPr>
      </w:pPr>
      <w:r w:rsidRPr="006367A3">
        <w:rPr>
          <w:rFonts w:asciiTheme="majorHAnsi" w:hAnsiTheme="majorHAnsi"/>
        </w:rPr>
        <w:t xml:space="preserve">In Q3FY15, </w:t>
      </w:r>
      <w:r w:rsidR="00E00BBF">
        <w:rPr>
          <w:rFonts w:asciiTheme="majorHAnsi" w:hAnsiTheme="majorHAnsi"/>
        </w:rPr>
        <w:t>t</w:t>
      </w:r>
      <w:r w:rsidR="00E00BBF" w:rsidRPr="006367A3">
        <w:rPr>
          <w:rFonts w:asciiTheme="majorHAnsi" w:hAnsiTheme="majorHAnsi"/>
        </w:rPr>
        <w:t xml:space="preserve">he </w:t>
      </w:r>
      <w:r w:rsidR="00E00BBF">
        <w:rPr>
          <w:rFonts w:asciiTheme="majorHAnsi" w:hAnsiTheme="majorHAnsi"/>
        </w:rPr>
        <w:t>C</w:t>
      </w:r>
      <w:r w:rsidR="00E00BBF" w:rsidRPr="006367A3">
        <w:rPr>
          <w:rFonts w:asciiTheme="majorHAnsi" w:hAnsiTheme="majorHAnsi"/>
        </w:rPr>
        <w:t>ompany</w:t>
      </w:r>
      <w:r w:rsidR="00E00BBF">
        <w:rPr>
          <w:rFonts w:asciiTheme="majorHAnsi" w:hAnsiTheme="majorHAnsi"/>
        </w:rPr>
        <w:t>’s</w:t>
      </w:r>
      <w:r w:rsidR="00E00BBF" w:rsidRPr="006367A3">
        <w:rPr>
          <w:rFonts w:asciiTheme="majorHAnsi" w:hAnsiTheme="majorHAnsi"/>
        </w:rPr>
        <w:t xml:space="preserve"> </w:t>
      </w:r>
      <w:r w:rsidR="00E00BBF">
        <w:rPr>
          <w:rFonts w:asciiTheme="majorHAnsi" w:hAnsiTheme="majorHAnsi"/>
        </w:rPr>
        <w:t>m</w:t>
      </w:r>
      <w:r w:rsidRPr="006367A3">
        <w:rPr>
          <w:rFonts w:asciiTheme="majorHAnsi" w:hAnsiTheme="majorHAnsi"/>
        </w:rPr>
        <w:t>arket share continue</w:t>
      </w:r>
      <w:r w:rsidR="00E00BBF">
        <w:rPr>
          <w:rFonts w:asciiTheme="majorHAnsi" w:hAnsiTheme="majorHAnsi"/>
        </w:rPr>
        <w:t>d to gain</w:t>
      </w:r>
      <w:r w:rsidRPr="006367A3">
        <w:rPr>
          <w:rFonts w:asciiTheme="majorHAnsi" w:hAnsiTheme="majorHAnsi"/>
        </w:rPr>
        <w:t xml:space="preserve"> in more than 80% of its portfolio.</w:t>
      </w:r>
    </w:p>
    <w:p w:rsidR="006367A3" w:rsidRPr="006367A3" w:rsidRDefault="006367A3" w:rsidP="006367A3">
      <w:pPr>
        <w:pStyle w:val="NoSpacing"/>
        <w:numPr>
          <w:ilvl w:val="0"/>
          <w:numId w:val="3"/>
        </w:numPr>
        <w:ind w:left="180" w:hanging="180"/>
        <w:rPr>
          <w:rFonts w:asciiTheme="majorHAnsi" w:hAnsiTheme="majorHAnsi"/>
        </w:rPr>
      </w:pPr>
      <w:r w:rsidRPr="006367A3">
        <w:rPr>
          <w:rFonts w:asciiTheme="majorHAnsi" w:hAnsiTheme="majorHAnsi"/>
        </w:rPr>
        <w:t xml:space="preserve">In Q3FY15, the </w:t>
      </w:r>
      <w:r w:rsidR="00E00BBF">
        <w:rPr>
          <w:rFonts w:asciiTheme="majorHAnsi" w:hAnsiTheme="majorHAnsi"/>
        </w:rPr>
        <w:t>C</w:t>
      </w:r>
      <w:r w:rsidRPr="006367A3">
        <w:rPr>
          <w:rFonts w:asciiTheme="majorHAnsi" w:hAnsiTheme="majorHAnsi"/>
        </w:rPr>
        <w:t>ompany achieved double digit volume growth</w:t>
      </w:r>
      <w:r w:rsidR="00E00BBF" w:rsidRPr="00E00BBF">
        <w:rPr>
          <w:rFonts w:asciiTheme="majorHAnsi" w:hAnsiTheme="majorHAnsi"/>
        </w:rPr>
        <w:t xml:space="preserve"> </w:t>
      </w:r>
      <w:r w:rsidR="00E00BBF" w:rsidRPr="006367A3">
        <w:rPr>
          <w:rFonts w:asciiTheme="majorHAnsi" w:hAnsiTheme="majorHAnsi"/>
        </w:rPr>
        <w:t>after 9 quarters</w:t>
      </w:r>
      <w:r w:rsidRPr="006367A3">
        <w:rPr>
          <w:rFonts w:asciiTheme="majorHAnsi" w:hAnsiTheme="majorHAnsi"/>
        </w:rPr>
        <w:t>.</w:t>
      </w:r>
    </w:p>
    <w:p w:rsidR="00EF411C" w:rsidRDefault="00EF411C" w:rsidP="007B5D79">
      <w:pPr>
        <w:pStyle w:val="NoSpacing"/>
        <w:rPr>
          <w:rFonts w:asciiTheme="majorHAnsi" w:hAnsiTheme="majorHAnsi"/>
        </w:rPr>
      </w:pPr>
    </w:p>
    <w:p w:rsidR="00FA19BF" w:rsidRPr="00E00BBF" w:rsidRDefault="00FA19BF" w:rsidP="00FA19B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 w:rsidRPr="00E00BBF">
        <w:rPr>
          <w:rFonts w:asciiTheme="majorHAnsi" w:hAnsiTheme="majorHAnsi"/>
        </w:rPr>
        <w:t xml:space="preserve">The company’s share price (as on January </w:t>
      </w:r>
      <w:r w:rsidR="00E00BBF" w:rsidRPr="00E00BBF">
        <w:rPr>
          <w:rFonts w:asciiTheme="majorHAnsi" w:hAnsiTheme="majorHAnsi"/>
        </w:rPr>
        <w:t>29</w:t>
      </w:r>
      <w:r w:rsidRPr="00E00BBF">
        <w:rPr>
          <w:rFonts w:asciiTheme="majorHAnsi" w:hAnsiTheme="majorHAnsi"/>
        </w:rPr>
        <w:t xml:space="preserve">, 2016): Rs. </w:t>
      </w:r>
      <w:r w:rsidR="00E00BBF" w:rsidRPr="00E00BBF">
        <w:rPr>
          <w:rFonts w:asciiTheme="majorHAnsi" w:hAnsiTheme="majorHAnsi"/>
        </w:rPr>
        <w:t>223.65</w:t>
      </w:r>
      <w:r w:rsidRPr="00E00BBF">
        <w:rPr>
          <w:rFonts w:asciiTheme="majorHAnsi" w:hAnsiTheme="majorHAnsi"/>
        </w:rPr>
        <w:t xml:space="preserve"> per share</w:t>
      </w:r>
    </w:p>
    <w:p w:rsidR="00FA19BF" w:rsidRPr="00E00BBF" w:rsidRDefault="00FA19BF" w:rsidP="00FA19B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 w:rsidRPr="00E00BBF">
        <w:rPr>
          <w:rFonts w:asciiTheme="majorHAnsi" w:hAnsiTheme="majorHAnsi"/>
        </w:rPr>
        <w:t xml:space="preserve">Market Capitalization: Rs. </w:t>
      </w:r>
      <w:r w:rsidR="00E00BBF" w:rsidRPr="00E00BBF">
        <w:rPr>
          <w:rFonts w:asciiTheme="majorHAnsi" w:hAnsiTheme="majorHAnsi"/>
        </w:rPr>
        <w:t>28,654</w:t>
      </w:r>
      <w:r w:rsidRPr="00E00BBF">
        <w:rPr>
          <w:rFonts w:asciiTheme="majorHAnsi" w:hAnsiTheme="majorHAnsi"/>
        </w:rPr>
        <w:t xml:space="preserve"> crores</w:t>
      </w:r>
    </w:p>
    <w:p w:rsidR="00FA19BF" w:rsidRPr="00E00BBF" w:rsidRDefault="00FA19BF" w:rsidP="00FA19B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 w:rsidRPr="00E00BBF">
        <w:rPr>
          <w:rFonts w:asciiTheme="majorHAnsi" w:hAnsiTheme="majorHAnsi"/>
        </w:rPr>
        <w:t xml:space="preserve">52 week high –low: Rs. </w:t>
      </w:r>
      <w:r w:rsidR="00E00BBF" w:rsidRPr="00E00BBF">
        <w:rPr>
          <w:rFonts w:asciiTheme="majorHAnsi" w:hAnsiTheme="majorHAnsi"/>
        </w:rPr>
        <w:t>169.33 (03-FEB-15)</w:t>
      </w:r>
      <w:r w:rsidRPr="00E00BBF">
        <w:rPr>
          <w:rFonts w:asciiTheme="majorHAnsi" w:hAnsiTheme="majorHAnsi"/>
        </w:rPr>
        <w:t xml:space="preserve"> – Rs. </w:t>
      </w:r>
      <w:r w:rsidR="00E00BBF" w:rsidRPr="00E00BBF">
        <w:rPr>
          <w:rFonts w:asciiTheme="majorHAnsi" w:hAnsiTheme="majorHAnsi"/>
        </w:rPr>
        <w:t>234.30 (21-DEC-15)</w:t>
      </w:r>
    </w:p>
    <w:p w:rsidR="00FA19BF" w:rsidRPr="00B21976" w:rsidRDefault="00FA19BF" w:rsidP="00FA19BF">
      <w:pPr>
        <w:pStyle w:val="NoSpacing"/>
        <w:rPr>
          <w:rFonts w:asciiTheme="majorHAnsi" w:hAnsiTheme="majorHAnsi"/>
        </w:rPr>
      </w:pPr>
    </w:p>
    <w:p w:rsidR="007B5D79" w:rsidRPr="00EE3123" w:rsidRDefault="00FA19BF" w:rsidP="007B5D79">
      <w:pPr>
        <w:pStyle w:val="NoSpacing"/>
        <w:rPr>
          <w:rFonts w:asciiTheme="majorHAnsi" w:hAnsiTheme="majorHAnsi"/>
        </w:rPr>
      </w:pPr>
      <w:r w:rsidRPr="00E33F64">
        <w:rPr>
          <w:rFonts w:asciiTheme="majorHAnsi" w:hAnsiTheme="majorHAnsi"/>
          <w:i/>
          <w:u w:val="single"/>
        </w:rPr>
        <w:t>Business</w:t>
      </w:r>
      <w:r w:rsidR="00E33F64" w:rsidRPr="00E33F64">
        <w:rPr>
          <w:rFonts w:asciiTheme="majorHAnsi" w:hAnsiTheme="majorHAnsi"/>
          <w:i/>
        </w:rPr>
        <w:t xml:space="preserve">: </w:t>
      </w:r>
      <w:r w:rsidR="00257A59" w:rsidRPr="00EE3123">
        <w:rPr>
          <w:rFonts w:asciiTheme="majorHAnsi" w:hAnsiTheme="majorHAnsi"/>
        </w:rPr>
        <w:t>Marico operates in Beauty and Wellness segment in Hair Care, Skin care, Healthcare and Male Grooming categories across India and outside India. More than 90% of the Group's turnover comes from categories in which Marico enjoys No. 1 or No. 2 position.</w:t>
      </w:r>
    </w:p>
    <w:p w:rsidR="007B5D79" w:rsidRPr="00EE3123" w:rsidRDefault="007B5D79" w:rsidP="007B5D79">
      <w:pPr>
        <w:pStyle w:val="NoSpacing"/>
        <w:rPr>
          <w:rFonts w:asciiTheme="majorHAnsi" w:hAnsiTheme="majorHAnsi"/>
        </w:rPr>
      </w:pPr>
    </w:p>
    <w:p w:rsidR="00257A59" w:rsidRPr="00EE3123" w:rsidRDefault="00257A59" w:rsidP="00257A59">
      <w:pPr>
        <w:pStyle w:val="NoSpacing"/>
        <w:rPr>
          <w:rFonts w:asciiTheme="majorHAnsi" w:hAnsiTheme="majorHAnsi"/>
        </w:rPr>
      </w:pPr>
      <w:r w:rsidRPr="00E33F64">
        <w:rPr>
          <w:rFonts w:asciiTheme="majorHAnsi" w:hAnsiTheme="majorHAnsi"/>
          <w:i/>
          <w:u w:val="single"/>
        </w:rPr>
        <w:t>History</w:t>
      </w:r>
      <w:r w:rsidRPr="00E33F64">
        <w:rPr>
          <w:rFonts w:asciiTheme="majorHAnsi" w:hAnsiTheme="majorHAnsi"/>
          <w:u w:val="single"/>
        </w:rPr>
        <w:t xml:space="preserve">: </w:t>
      </w:r>
      <w:r w:rsidRPr="00EE3123">
        <w:rPr>
          <w:rFonts w:asciiTheme="majorHAnsi" w:hAnsiTheme="majorHAnsi"/>
        </w:rPr>
        <w:t>Marico was incorporated in the year 1988 and got listed on the NSE and BSE in the year 1996.</w:t>
      </w:r>
    </w:p>
    <w:p w:rsidR="00257A59" w:rsidRPr="00EE3123" w:rsidRDefault="00257A59" w:rsidP="007B5D79">
      <w:pPr>
        <w:pStyle w:val="NoSpacing"/>
        <w:rPr>
          <w:rFonts w:asciiTheme="majorHAnsi" w:hAnsiTheme="majorHAnsi"/>
        </w:rPr>
      </w:pPr>
    </w:p>
    <w:p w:rsidR="00EE3123" w:rsidRPr="00EE3123" w:rsidRDefault="00257A59" w:rsidP="007B5D79">
      <w:pPr>
        <w:pStyle w:val="NoSpacing"/>
        <w:rPr>
          <w:rStyle w:val="morecontent"/>
          <w:rFonts w:asciiTheme="majorHAnsi" w:hAnsiTheme="majorHAnsi"/>
        </w:rPr>
      </w:pPr>
      <w:r w:rsidRPr="00E33F64">
        <w:rPr>
          <w:rStyle w:val="morecontent"/>
          <w:rFonts w:asciiTheme="majorHAnsi" w:hAnsiTheme="majorHAnsi"/>
          <w:i/>
          <w:u w:val="single"/>
        </w:rPr>
        <w:t>Brands</w:t>
      </w:r>
      <w:r w:rsidRPr="00EE3123">
        <w:rPr>
          <w:rStyle w:val="morecontent"/>
          <w:rFonts w:asciiTheme="majorHAnsi" w:hAnsiTheme="majorHAnsi"/>
        </w:rPr>
        <w:t xml:space="preserve">: Marico has nurtured over 25 trusted brands in the categories of hair care, skin care, health foods, male grooming and fabric care. </w:t>
      </w:r>
    </w:p>
    <w:p w:rsidR="00257A59" w:rsidRPr="00EE3123" w:rsidRDefault="00926638" w:rsidP="00EE3123">
      <w:pPr>
        <w:pStyle w:val="NoSpacing"/>
        <w:numPr>
          <w:ilvl w:val="0"/>
          <w:numId w:val="2"/>
        </w:numPr>
        <w:ind w:left="180" w:hanging="180"/>
        <w:rPr>
          <w:rStyle w:val="morecontent"/>
          <w:rFonts w:asciiTheme="majorHAnsi" w:hAnsiTheme="majorHAnsi"/>
        </w:rPr>
      </w:pPr>
      <w:r w:rsidRPr="00EE3123">
        <w:rPr>
          <w:rStyle w:val="morecontent"/>
          <w:rFonts w:asciiTheme="majorHAnsi" w:hAnsiTheme="majorHAnsi"/>
        </w:rPr>
        <w:t>It’s</w:t>
      </w:r>
      <w:r w:rsidR="00257A59" w:rsidRPr="00EE3123">
        <w:rPr>
          <w:rStyle w:val="morecontent"/>
          <w:rFonts w:asciiTheme="majorHAnsi" w:hAnsiTheme="majorHAnsi"/>
        </w:rPr>
        <w:t xml:space="preserve"> India Business</w:t>
      </w:r>
      <w:r>
        <w:rPr>
          <w:rStyle w:val="morecontent"/>
          <w:rFonts w:asciiTheme="majorHAnsi" w:hAnsiTheme="majorHAnsi"/>
        </w:rPr>
        <w:t>,</w:t>
      </w:r>
      <w:r w:rsidR="00257A59" w:rsidRPr="00EE3123">
        <w:rPr>
          <w:rStyle w:val="morecontent"/>
          <w:rFonts w:asciiTheme="majorHAnsi" w:hAnsiTheme="majorHAnsi"/>
        </w:rPr>
        <w:t xml:space="preserve"> markets house hold brands such as Parachute </w:t>
      </w:r>
      <w:proofErr w:type="spellStart"/>
      <w:r w:rsidR="00257A59" w:rsidRPr="00EE3123">
        <w:rPr>
          <w:rStyle w:val="morecontent"/>
          <w:rFonts w:asciiTheme="majorHAnsi" w:hAnsiTheme="majorHAnsi"/>
        </w:rPr>
        <w:t>Advansed</w:t>
      </w:r>
      <w:proofErr w:type="spellEnd"/>
      <w:r w:rsidR="00257A59" w:rsidRPr="00EE3123">
        <w:rPr>
          <w:rStyle w:val="morecontent"/>
          <w:rFonts w:asciiTheme="majorHAnsi" w:hAnsiTheme="majorHAnsi"/>
        </w:rPr>
        <w:t xml:space="preserve">, </w:t>
      </w:r>
      <w:proofErr w:type="spellStart"/>
      <w:r w:rsidR="00257A59" w:rsidRPr="00EE3123">
        <w:rPr>
          <w:rStyle w:val="morecontent"/>
          <w:rFonts w:asciiTheme="majorHAnsi" w:hAnsiTheme="majorHAnsi"/>
        </w:rPr>
        <w:t>Saffola</w:t>
      </w:r>
      <w:proofErr w:type="spellEnd"/>
      <w:r w:rsidR="00257A59" w:rsidRPr="00EE3123">
        <w:rPr>
          <w:rStyle w:val="morecontent"/>
          <w:rFonts w:asciiTheme="majorHAnsi" w:hAnsiTheme="majorHAnsi"/>
        </w:rPr>
        <w:t xml:space="preserve">, Hair &amp; Care, </w:t>
      </w:r>
      <w:proofErr w:type="spellStart"/>
      <w:r w:rsidR="00257A59" w:rsidRPr="00EE3123">
        <w:rPr>
          <w:rStyle w:val="morecontent"/>
          <w:rFonts w:asciiTheme="majorHAnsi" w:hAnsiTheme="majorHAnsi"/>
        </w:rPr>
        <w:t>Nihar</w:t>
      </w:r>
      <w:proofErr w:type="spellEnd"/>
      <w:r w:rsidR="00257A59" w:rsidRPr="00EE3123">
        <w:rPr>
          <w:rStyle w:val="morecontent"/>
          <w:rFonts w:asciiTheme="majorHAnsi" w:hAnsiTheme="majorHAnsi"/>
        </w:rPr>
        <w:t xml:space="preserve">, </w:t>
      </w:r>
      <w:proofErr w:type="spellStart"/>
      <w:r w:rsidR="00257A59" w:rsidRPr="00EE3123">
        <w:rPr>
          <w:rStyle w:val="morecontent"/>
          <w:rFonts w:asciiTheme="majorHAnsi" w:hAnsiTheme="majorHAnsi"/>
        </w:rPr>
        <w:t>Mediker</w:t>
      </w:r>
      <w:proofErr w:type="spellEnd"/>
      <w:r w:rsidR="00257A59" w:rsidRPr="00EE3123">
        <w:rPr>
          <w:rStyle w:val="morecontent"/>
          <w:rFonts w:asciiTheme="majorHAnsi" w:hAnsiTheme="majorHAnsi"/>
        </w:rPr>
        <w:t xml:space="preserve">, Revive, </w:t>
      </w:r>
      <w:proofErr w:type="spellStart"/>
      <w:r w:rsidR="00257A59" w:rsidRPr="00EE3123">
        <w:rPr>
          <w:rStyle w:val="morecontent"/>
          <w:rFonts w:asciiTheme="majorHAnsi" w:hAnsiTheme="majorHAnsi"/>
        </w:rPr>
        <w:t>Manjal</w:t>
      </w:r>
      <w:proofErr w:type="spellEnd"/>
      <w:r w:rsidR="00257A59" w:rsidRPr="00EE3123">
        <w:rPr>
          <w:rStyle w:val="morecontent"/>
          <w:rFonts w:asciiTheme="majorHAnsi" w:hAnsiTheme="majorHAnsi"/>
        </w:rPr>
        <w:t xml:space="preserve">, </w:t>
      </w:r>
      <w:proofErr w:type="spellStart"/>
      <w:r w:rsidR="00257A59" w:rsidRPr="00EE3123">
        <w:rPr>
          <w:rStyle w:val="morecontent"/>
          <w:rFonts w:asciiTheme="majorHAnsi" w:hAnsiTheme="majorHAnsi"/>
        </w:rPr>
        <w:t>Setwet</w:t>
      </w:r>
      <w:proofErr w:type="spellEnd"/>
      <w:r w:rsidR="00257A59" w:rsidRPr="00EE3123">
        <w:rPr>
          <w:rStyle w:val="morecontent"/>
          <w:rFonts w:asciiTheme="majorHAnsi" w:hAnsiTheme="majorHAnsi"/>
        </w:rPr>
        <w:t xml:space="preserve">, </w:t>
      </w:r>
      <w:proofErr w:type="spellStart"/>
      <w:r w:rsidR="00257A59" w:rsidRPr="00EE3123">
        <w:rPr>
          <w:rStyle w:val="morecontent"/>
          <w:rFonts w:asciiTheme="majorHAnsi" w:hAnsiTheme="majorHAnsi"/>
        </w:rPr>
        <w:t>Zatak</w:t>
      </w:r>
      <w:proofErr w:type="spellEnd"/>
      <w:r w:rsidR="00257A59" w:rsidRPr="00EE3123">
        <w:rPr>
          <w:rStyle w:val="morecontent"/>
          <w:rFonts w:asciiTheme="majorHAnsi" w:hAnsiTheme="majorHAnsi"/>
        </w:rPr>
        <w:t xml:space="preserve"> and </w:t>
      </w:r>
      <w:proofErr w:type="spellStart"/>
      <w:r w:rsidRPr="00EE3123">
        <w:rPr>
          <w:rStyle w:val="morecontent"/>
          <w:rFonts w:asciiTheme="majorHAnsi" w:hAnsiTheme="majorHAnsi"/>
        </w:rPr>
        <w:t>Livon</w:t>
      </w:r>
      <w:proofErr w:type="spellEnd"/>
      <w:r w:rsidRPr="00EE3123">
        <w:rPr>
          <w:rStyle w:val="morecontent"/>
          <w:rFonts w:asciiTheme="majorHAnsi" w:hAnsiTheme="majorHAnsi"/>
        </w:rPr>
        <w:t xml:space="preserve"> that</w:t>
      </w:r>
      <w:r w:rsidR="00257A59" w:rsidRPr="00EE3123">
        <w:rPr>
          <w:rStyle w:val="morecontent"/>
          <w:rFonts w:asciiTheme="majorHAnsi" w:hAnsiTheme="majorHAnsi"/>
        </w:rPr>
        <w:t xml:space="preserve"> have added value to the lives of 1 in every 3 Indians.</w:t>
      </w:r>
    </w:p>
    <w:p w:rsidR="00EE3123" w:rsidRPr="00EE3123" w:rsidRDefault="00EE3123" w:rsidP="00EE3123">
      <w:pPr>
        <w:pStyle w:val="NoSpacing"/>
        <w:numPr>
          <w:ilvl w:val="0"/>
          <w:numId w:val="2"/>
        </w:numPr>
        <w:ind w:left="180" w:hanging="180"/>
        <w:rPr>
          <w:rFonts w:asciiTheme="majorHAnsi" w:hAnsiTheme="majorHAnsi"/>
        </w:rPr>
      </w:pPr>
      <w:r w:rsidRPr="00EE3123">
        <w:rPr>
          <w:rStyle w:val="morecontent"/>
          <w:rFonts w:asciiTheme="majorHAnsi" w:hAnsiTheme="majorHAnsi"/>
        </w:rPr>
        <w:t>Its International Business</w:t>
      </w:r>
      <w:r w:rsidR="00926638">
        <w:rPr>
          <w:rStyle w:val="morecontent"/>
          <w:rFonts w:asciiTheme="majorHAnsi" w:hAnsiTheme="majorHAnsi"/>
        </w:rPr>
        <w:t xml:space="preserve"> </w:t>
      </w:r>
      <w:r w:rsidRPr="00EE3123">
        <w:rPr>
          <w:rStyle w:val="morecontent"/>
          <w:rFonts w:asciiTheme="majorHAnsi" w:hAnsiTheme="majorHAnsi"/>
        </w:rPr>
        <w:t xml:space="preserve">offers unique brands such as Parachute, </w:t>
      </w:r>
      <w:proofErr w:type="spellStart"/>
      <w:r w:rsidRPr="00EE3123">
        <w:rPr>
          <w:rStyle w:val="morecontent"/>
          <w:rFonts w:asciiTheme="majorHAnsi" w:hAnsiTheme="majorHAnsi"/>
        </w:rPr>
        <w:t>HairCode</w:t>
      </w:r>
      <w:proofErr w:type="spellEnd"/>
      <w:r w:rsidRPr="00EE3123">
        <w:rPr>
          <w:rStyle w:val="morecontent"/>
          <w:rFonts w:asciiTheme="majorHAnsi" w:hAnsiTheme="majorHAnsi"/>
        </w:rPr>
        <w:t xml:space="preserve">, </w:t>
      </w:r>
      <w:proofErr w:type="spellStart"/>
      <w:r w:rsidRPr="00EE3123">
        <w:rPr>
          <w:rStyle w:val="morecontent"/>
          <w:rFonts w:asciiTheme="majorHAnsi" w:hAnsiTheme="majorHAnsi"/>
        </w:rPr>
        <w:t>Fiancee</w:t>
      </w:r>
      <w:proofErr w:type="spellEnd"/>
      <w:r w:rsidRPr="00EE3123">
        <w:rPr>
          <w:rStyle w:val="morecontent"/>
          <w:rFonts w:asciiTheme="majorHAnsi" w:hAnsiTheme="majorHAnsi"/>
        </w:rPr>
        <w:t xml:space="preserve">, </w:t>
      </w:r>
      <w:proofErr w:type="spellStart"/>
      <w:r w:rsidRPr="00EE3123">
        <w:rPr>
          <w:rStyle w:val="morecontent"/>
          <w:rFonts w:asciiTheme="majorHAnsi" w:hAnsiTheme="majorHAnsi"/>
        </w:rPr>
        <w:t>Caivil</w:t>
      </w:r>
      <w:proofErr w:type="spellEnd"/>
      <w:r w:rsidRPr="00EE3123">
        <w:rPr>
          <w:rStyle w:val="morecontent"/>
          <w:rFonts w:asciiTheme="majorHAnsi" w:hAnsiTheme="majorHAnsi"/>
        </w:rPr>
        <w:t xml:space="preserve">, Hercules, </w:t>
      </w:r>
      <w:proofErr w:type="spellStart"/>
      <w:r w:rsidRPr="00EE3123">
        <w:rPr>
          <w:rStyle w:val="morecontent"/>
          <w:rFonts w:asciiTheme="majorHAnsi" w:hAnsiTheme="majorHAnsi"/>
        </w:rPr>
        <w:t>BlackChic</w:t>
      </w:r>
      <w:proofErr w:type="spellEnd"/>
      <w:r w:rsidRPr="00EE3123">
        <w:rPr>
          <w:rStyle w:val="morecontent"/>
          <w:rFonts w:asciiTheme="majorHAnsi" w:hAnsiTheme="majorHAnsi"/>
        </w:rPr>
        <w:t xml:space="preserve">, Code 10, Ingwe, X-Men, </w:t>
      </w:r>
      <w:proofErr w:type="spellStart"/>
      <w:r w:rsidRPr="00EE3123">
        <w:rPr>
          <w:rStyle w:val="morecontent"/>
          <w:rFonts w:asciiTheme="majorHAnsi" w:hAnsiTheme="majorHAnsi"/>
        </w:rPr>
        <w:t>L'Ovite</w:t>
      </w:r>
      <w:proofErr w:type="spellEnd"/>
      <w:r w:rsidRPr="00EE3123">
        <w:rPr>
          <w:rStyle w:val="morecontent"/>
          <w:rFonts w:asciiTheme="majorHAnsi" w:hAnsiTheme="majorHAnsi"/>
        </w:rPr>
        <w:t xml:space="preserve"> and </w:t>
      </w:r>
      <w:proofErr w:type="spellStart"/>
      <w:r w:rsidRPr="00EE3123">
        <w:rPr>
          <w:rStyle w:val="morecontent"/>
          <w:rFonts w:asciiTheme="majorHAnsi" w:hAnsiTheme="majorHAnsi"/>
        </w:rPr>
        <w:t>Thuan</w:t>
      </w:r>
      <w:proofErr w:type="spellEnd"/>
      <w:r w:rsidRPr="00EE3123">
        <w:rPr>
          <w:rStyle w:val="morecontent"/>
          <w:rFonts w:asciiTheme="majorHAnsi" w:hAnsiTheme="majorHAnsi"/>
        </w:rPr>
        <w:t xml:space="preserve"> </w:t>
      </w:r>
      <w:proofErr w:type="spellStart"/>
      <w:r w:rsidRPr="00EE3123">
        <w:rPr>
          <w:rStyle w:val="morecontent"/>
          <w:rFonts w:asciiTheme="majorHAnsi" w:hAnsiTheme="majorHAnsi"/>
        </w:rPr>
        <w:t>Phatthat</w:t>
      </w:r>
      <w:proofErr w:type="spellEnd"/>
      <w:r w:rsidRPr="00EE3123">
        <w:rPr>
          <w:rStyle w:val="morecontent"/>
          <w:rFonts w:asciiTheme="majorHAnsi" w:hAnsiTheme="majorHAnsi"/>
        </w:rPr>
        <w:t xml:space="preserve"> are localized to fulfill the lifestyle needs of its international consumers.</w:t>
      </w:r>
    </w:p>
    <w:p w:rsidR="00257A59" w:rsidRPr="00EE3123" w:rsidRDefault="00257A59" w:rsidP="007B5D79">
      <w:pPr>
        <w:pStyle w:val="NoSpacing"/>
        <w:rPr>
          <w:rFonts w:asciiTheme="majorHAnsi" w:hAnsiTheme="majorHAnsi"/>
        </w:rPr>
      </w:pPr>
    </w:p>
    <w:p w:rsidR="00257A59" w:rsidRDefault="00257A59" w:rsidP="007B5D79">
      <w:pPr>
        <w:pStyle w:val="NoSpacing"/>
        <w:rPr>
          <w:rFonts w:asciiTheme="majorHAnsi" w:hAnsiTheme="majorHAnsi"/>
        </w:rPr>
      </w:pPr>
      <w:r w:rsidRPr="00E33F64">
        <w:rPr>
          <w:rFonts w:asciiTheme="majorHAnsi" w:hAnsiTheme="majorHAnsi"/>
          <w:i/>
          <w:u w:val="single"/>
        </w:rPr>
        <w:t>Insider Ownership</w:t>
      </w:r>
      <w:r w:rsidRPr="00EE3123">
        <w:rPr>
          <w:rFonts w:asciiTheme="majorHAnsi" w:hAnsiTheme="majorHAnsi"/>
        </w:rPr>
        <w:t>: Promoter &amp; Promoter Group holds 59.67%</w:t>
      </w:r>
      <w:r w:rsidR="00EE3123">
        <w:rPr>
          <w:rFonts w:asciiTheme="majorHAnsi" w:hAnsiTheme="majorHAnsi"/>
        </w:rPr>
        <w:t>.</w:t>
      </w:r>
    </w:p>
    <w:p w:rsidR="00EE3123" w:rsidRPr="00E33F64" w:rsidRDefault="00EE3123" w:rsidP="007B5D79">
      <w:pPr>
        <w:pStyle w:val="NoSpacing"/>
        <w:rPr>
          <w:rFonts w:asciiTheme="majorHAnsi" w:hAnsiTheme="majorHAnsi"/>
          <w:b/>
          <w:color w:val="002060"/>
          <w:sz w:val="28"/>
          <w:szCs w:val="28"/>
        </w:rPr>
      </w:pPr>
      <w:r w:rsidRPr="00E33F64">
        <w:rPr>
          <w:rFonts w:asciiTheme="majorHAnsi" w:hAnsiTheme="majorHAnsi"/>
          <w:b/>
          <w:color w:val="002060"/>
          <w:sz w:val="28"/>
          <w:szCs w:val="28"/>
        </w:rPr>
        <w:t>Investment Thesis:</w:t>
      </w:r>
    </w:p>
    <w:p w:rsidR="00EE3123" w:rsidRPr="008532A9" w:rsidRDefault="008532A9" w:rsidP="007B5D79">
      <w:pPr>
        <w:pStyle w:val="NoSpacing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I. </w:t>
      </w:r>
      <w:r w:rsidR="00737F9A" w:rsidRPr="008532A9">
        <w:rPr>
          <w:rFonts w:asciiTheme="majorHAnsi" w:hAnsiTheme="majorHAnsi"/>
          <w:b/>
        </w:rPr>
        <w:t>Industry:</w:t>
      </w:r>
    </w:p>
    <w:p w:rsidR="00982913" w:rsidRPr="00304164" w:rsidRDefault="00D11333" w:rsidP="007B5D79">
      <w:pPr>
        <w:pStyle w:val="NoSpacing"/>
        <w:rPr>
          <w:rFonts w:asciiTheme="majorHAnsi" w:hAnsiTheme="majorHAnsi"/>
        </w:rPr>
      </w:pPr>
      <w:r w:rsidRPr="00304164">
        <w:rPr>
          <w:rFonts w:asciiTheme="majorHAnsi" w:hAnsiTheme="majorHAnsi"/>
        </w:rPr>
        <w:t xml:space="preserve">As per IBEF, the consumer durables sector revenue reached US$ 9.7 billion in FY15 and is expected to reach US$ 12.5 billion in FY16. </w:t>
      </w:r>
      <w:r w:rsidR="00E42391" w:rsidRPr="00304164">
        <w:rPr>
          <w:rFonts w:asciiTheme="majorHAnsi" w:hAnsiTheme="majorHAnsi"/>
        </w:rPr>
        <w:t>Consumer durable market expected to grow at CAGR of 13 per cent from FY05 to FY20.</w:t>
      </w:r>
      <w:r w:rsidR="00982913" w:rsidRPr="00304164">
        <w:rPr>
          <w:rFonts w:asciiTheme="majorHAnsi" w:hAnsiTheme="majorHAnsi"/>
        </w:rPr>
        <w:t xml:space="preserve"> The company believes that that the business sentiment improved post May 2014.</w:t>
      </w:r>
    </w:p>
    <w:p w:rsidR="00304164" w:rsidRDefault="00304164" w:rsidP="007B5D79">
      <w:pPr>
        <w:pStyle w:val="NoSpacing"/>
        <w:rPr>
          <w:rFonts w:asciiTheme="majorHAnsi" w:hAnsiTheme="majorHAnsi"/>
        </w:rPr>
      </w:pPr>
    </w:p>
    <w:p w:rsidR="00982913" w:rsidRPr="00304164" w:rsidRDefault="00304164" w:rsidP="007B5D79">
      <w:pPr>
        <w:pStyle w:val="NoSpacing"/>
        <w:rPr>
          <w:rFonts w:asciiTheme="majorHAnsi" w:hAnsiTheme="majorHAnsi"/>
        </w:rPr>
      </w:pPr>
      <w:r w:rsidRPr="00304164">
        <w:rPr>
          <w:rFonts w:asciiTheme="majorHAnsi" w:hAnsiTheme="majorHAnsi"/>
        </w:rPr>
        <w:t xml:space="preserve">According to Nielson, FMCG industry </w:t>
      </w:r>
      <w:r>
        <w:rPr>
          <w:rFonts w:asciiTheme="majorHAnsi" w:hAnsiTheme="majorHAnsi"/>
        </w:rPr>
        <w:t xml:space="preserve">in India is expected </w:t>
      </w:r>
      <w:r w:rsidRPr="00304164">
        <w:rPr>
          <w:rFonts w:asciiTheme="majorHAnsi" w:hAnsiTheme="majorHAnsi"/>
        </w:rPr>
        <w:t>to grow from $37 billion in 2013 to $49 billion in 2016.</w:t>
      </w:r>
    </w:p>
    <w:p w:rsidR="00982913" w:rsidRDefault="00982913" w:rsidP="007B5D79">
      <w:pPr>
        <w:pStyle w:val="NoSpacing"/>
        <w:rPr>
          <w:rFonts w:asciiTheme="majorHAnsi" w:hAnsiTheme="majorHAnsi"/>
        </w:rPr>
      </w:pPr>
    </w:p>
    <w:p w:rsidR="00737F9A" w:rsidRPr="008532A9" w:rsidRDefault="008532A9" w:rsidP="007B5D79">
      <w:pPr>
        <w:pStyle w:val="NoSpacing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II. </w:t>
      </w:r>
      <w:r w:rsidR="00737F9A" w:rsidRPr="008532A9">
        <w:rPr>
          <w:rFonts w:asciiTheme="majorHAnsi" w:hAnsiTheme="majorHAnsi"/>
          <w:b/>
        </w:rPr>
        <w:t>Marico’s growth:</w:t>
      </w:r>
    </w:p>
    <w:p w:rsidR="00737F9A" w:rsidRPr="008532A9" w:rsidRDefault="00737F9A" w:rsidP="007B5D79">
      <w:pPr>
        <w:pStyle w:val="NoSpacing"/>
        <w:rPr>
          <w:rFonts w:asciiTheme="majorHAnsi" w:hAnsiTheme="majorHAnsi"/>
          <w:b/>
          <w:color w:val="002060"/>
        </w:rPr>
      </w:pPr>
      <w:r w:rsidRPr="008532A9">
        <w:rPr>
          <w:rFonts w:asciiTheme="majorHAnsi" w:hAnsiTheme="majorHAnsi"/>
          <w:b/>
          <w:color w:val="002060"/>
        </w:rPr>
        <w:t>Over the past 5 years, the FMCG top line and bottom line have grown at a compounded annual growth rate (CAGR) of 18% and 15% respectively.</w:t>
      </w:r>
    </w:p>
    <w:p w:rsidR="00737F9A" w:rsidRPr="008532A9" w:rsidRDefault="00737F9A" w:rsidP="007B5D79">
      <w:pPr>
        <w:pStyle w:val="NoSpacing"/>
        <w:rPr>
          <w:rFonts w:asciiTheme="majorHAnsi" w:hAnsiTheme="majorHAnsi"/>
        </w:rPr>
      </w:pPr>
    </w:p>
    <w:p w:rsidR="00737F9A" w:rsidRPr="008532A9" w:rsidRDefault="00737F9A" w:rsidP="007B5D79">
      <w:pPr>
        <w:pStyle w:val="NoSpacing"/>
        <w:rPr>
          <w:rFonts w:asciiTheme="majorHAnsi" w:hAnsiTheme="majorHAnsi"/>
        </w:rPr>
      </w:pPr>
      <w:r w:rsidRPr="00113E15">
        <w:rPr>
          <w:rFonts w:asciiTheme="majorHAnsi" w:hAnsiTheme="majorHAnsi"/>
          <w:i/>
          <w:u w:val="single"/>
        </w:rPr>
        <w:t>FY15:</w:t>
      </w:r>
      <w:r w:rsidRPr="008532A9">
        <w:rPr>
          <w:rFonts w:asciiTheme="majorHAnsi" w:hAnsiTheme="majorHAnsi"/>
          <w:i/>
        </w:rPr>
        <w:t xml:space="preserve"> </w:t>
      </w:r>
      <w:r w:rsidRPr="008532A9">
        <w:rPr>
          <w:rFonts w:asciiTheme="majorHAnsi" w:hAnsiTheme="majorHAnsi"/>
        </w:rPr>
        <w:t xml:space="preserve">During FY15 Marico posted revenue from operations of INR 5,733 </w:t>
      </w:r>
      <w:r w:rsidR="00926638" w:rsidRPr="008532A9">
        <w:rPr>
          <w:rFonts w:asciiTheme="majorHAnsi" w:hAnsiTheme="majorHAnsi"/>
        </w:rPr>
        <w:t>Crores</w:t>
      </w:r>
      <w:r w:rsidRPr="008532A9">
        <w:rPr>
          <w:rFonts w:asciiTheme="majorHAnsi" w:hAnsiTheme="majorHAnsi"/>
        </w:rPr>
        <w:t>, a growth of 22% over the previous year. The business delivered a volume growth of 4% with an operating margin of 15.2%.</w:t>
      </w:r>
    </w:p>
    <w:p w:rsidR="00737F9A" w:rsidRPr="008532A9" w:rsidRDefault="00737F9A" w:rsidP="007B5D79">
      <w:pPr>
        <w:pStyle w:val="NoSpacing"/>
        <w:rPr>
          <w:rFonts w:asciiTheme="majorHAnsi" w:hAnsiTheme="majorHAnsi"/>
        </w:rPr>
      </w:pPr>
    </w:p>
    <w:p w:rsidR="00737F9A" w:rsidRPr="008532A9" w:rsidRDefault="00737F9A" w:rsidP="003462E2">
      <w:pPr>
        <w:pStyle w:val="NoSpacing"/>
        <w:rPr>
          <w:rFonts w:asciiTheme="majorHAnsi" w:hAnsiTheme="majorHAnsi"/>
        </w:rPr>
      </w:pPr>
      <w:r w:rsidRPr="00113E15">
        <w:rPr>
          <w:rFonts w:asciiTheme="majorHAnsi" w:hAnsiTheme="majorHAnsi"/>
          <w:i/>
          <w:u w:val="single"/>
        </w:rPr>
        <w:lastRenderedPageBreak/>
        <w:t>Latest quarter results (Q3FY16)</w:t>
      </w:r>
      <w:r w:rsidRPr="00113E15">
        <w:rPr>
          <w:rFonts w:asciiTheme="majorHAnsi" w:hAnsiTheme="majorHAnsi"/>
          <w:u w:val="single"/>
        </w:rPr>
        <w:t>:</w:t>
      </w:r>
      <w:r w:rsidRPr="008532A9">
        <w:rPr>
          <w:rFonts w:asciiTheme="majorHAnsi" w:hAnsiTheme="majorHAnsi"/>
        </w:rPr>
        <w:t xml:space="preserve"> </w:t>
      </w:r>
      <w:r w:rsidR="003462E2" w:rsidRPr="008532A9">
        <w:rPr>
          <w:rFonts w:asciiTheme="majorHAnsi" w:hAnsiTheme="majorHAnsi"/>
        </w:rPr>
        <w:t xml:space="preserve">Revenue from Operations of INR 1,556 </w:t>
      </w:r>
      <w:r w:rsidR="00926638" w:rsidRPr="008532A9">
        <w:rPr>
          <w:rFonts w:asciiTheme="majorHAnsi" w:hAnsiTheme="majorHAnsi"/>
        </w:rPr>
        <w:t>crores</w:t>
      </w:r>
      <w:r w:rsidR="003462E2" w:rsidRPr="008532A9">
        <w:rPr>
          <w:rFonts w:asciiTheme="majorHAnsi" w:hAnsiTheme="majorHAnsi"/>
        </w:rPr>
        <w:t xml:space="preserve"> grew by about 7% over Q3FY15.  The company's volume growth is 11%. After 9 quarters, the company achieved double digit volume growth at group level.</w:t>
      </w:r>
    </w:p>
    <w:p w:rsidR="00737F9A" w:rsidRDefault="00737F9A" w:rsidP="007B5D79">
      <w:pPr>
        <w:pStyle w:val="NoSpacing"/>
        <w:rPr>
          <w:rFonts w:asciiTheme="majorHAnsi" w:hAnsiTheme="majorHAnsi"/>
        </w:rPr>
      </w:pPr>
    </w:p>
    <w:p w:rsidR="00BE788A" w:rsidRDefault="00BE788A" w:rsidP="007B5D79">
      <w:pPr>
        <w:pStyle w:val="NoSpacing"/>
        <w:rPr>
          <w:rFonts w:asciiTheme="majorHAnsi" w:hAnsiTheme="majorHAnsi"/>
        </w:rPr>
      </w:pPr>
      <w:r w:rsidRPr="00BE788A">
        <w:rPr>
          <w:rFonts w:asciiTheme="majorHAnsi" w:hAnsiTheme="majorHAnsi"/>
          <w:noProof/>
        </w:rPr>
        <w:drawing>
          <wp:inline distT="0" distB="0" distL="0" distR="0">
            <wp:extent cx="5695950" cy="2962275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85D8D" w:rsidRDefault="00985D8D" w:rsidP="007B5D79">
      <w:pPr>
        <w:pStyle w:val="NoSpacing"/>
        <w:rPr>
          <w:rFonts w:asciiTheme="majorHAnsi" w:hAnsiTheme="majorHAnsi"/>
          <w:sz w:val="16"/>
          <w:szCs w:val="16"/>
        </w:rPr>
      </w:pPr>
    </w:p>
    <w:p w:rsidR="00985D8D" w:rsidRDefault="00985D8D" w:rsidP="007B5D79">
      <w:pPr>
        <w:pStyle w:val="NoSpacing"/>
        <w:rPr>
          <w:rFonts w:asciiTheme="majorHAnsi" w:hAnsiTheme="majorHAnsi"/>
          <w:sz w:val="16"/>
          <w:szCs w:val="16"/>
        </w:rPr>
      </w:pPr>
    </w:p>
    <w:p w:rsidR="00BE788A" w:rsidRPr="00271EE5" w:rsidRDefault="00271EE5" w:rsidP="007B5D79">
      <w:pPr>
        <w:pStyle w:val="NoSpacing"/>
        <w:rPr>
          <w:rFonts w:asciiTheme="majorHAnsi" w:hAnsiTheme="majorHAnsi"/>
          <w:sz w:val="16"/>
          <w:szCs w:val="16"/>
        </w:rPr>
      </w:pPr>
      <w:r w:rsidRPr="00271EE5">
        <w:rPr>
          <w:rFonts w:asciiTheme="majorHAnsi" w:hAnsiTheme="majorHAnsi"/>
          <w:sz w:val="16"/>
          <w:szCs w:val="16"/>
        </w:rPr>
        <w:t>Source: Company</w:t>
      </w:r>
    </w:p>
    <w:p w:rsidR="00BE788A" w:rsidRDefault="00BE788A" w:rsidP="008D1500">
      <w:pPr>
        <w:pStyle w:val="NoSpacing"/>
        <w:rPr>
          <w:rFonts w:asciiTheme="majorHAnsi" w:hAnsiTheme="majorHAnsi"/>
          <w:i/>
          <w:u w:val="single"/>
        </w:rPr>
      </w:pPr>
    </w:p>
    <w:p w:rsidR="008D1500" w:rsidRPr="00113E15" w:rsidRDefault="008D1500" w:rsidP="008D1500">
      <w:pPr>
        <w:pStyle w:val="NoSpacing"/>
        <w:rPr>
          <w:rFonts w:asciiTheme="majorHAnsi" w:hAnsiTheme="majorHAnsi"/>
        </w:rPr>
      </w:pPr>
      <w:r w:rsidRPr="00113E15">
        <w:rPr>
          <w:rFonts w:asciiTheme="majorHAnsi" w:hAnsiTheme="majorHAnsi"/>
          <w:i/>
          <w:u w:val="single"/>
        </w:rPr>
        <w:t>Dividend</w:t>
      </w:r>
      <w:r w:rsidRPr="00113E15">
        <w:rPr>
          <w:rFonts w:asciiTheme="majorHAnsi" w:hAnsiTheme="majorHAnsi"/>
          <w:i/>
        </w:rPr>
        <w:t>:</w:t>
      </w:r>
      <w:r>
        <w:rPr>
          <w:rFonts w:asciiTheme="majorHAnsi" w:hAnsiTheme="majorHAnsi"/>
          <w:i/>
        </w:rPr>
        <w:t xml:space="preserve"> </w:t>
      </w:r>
      <w:r w:rsidRPr="00113E15">
        <w:rPr>
          <w:rFonts w:asciiTheme="majorHAnsi" w:hAnsiTheme="majorHAnsi"/>
        </w:rPr>
        <w:t>On January 30, 2016, the Board of Directors of the Company has declared a second interim dividend of 150% (</w:t>
      </w:r>
      <w:r w:rsidR="00A00256">
        <w:rPr>
          <w:rFonts w:asciiTheme="majorHAnsi" w:hAnsiTheme="majorHAnsi"/>
        </w:rPr>
        <w:t xml:space="preserve">Rs. </w:t>
      </w:r>
      <w:r w:rsidRPr="00113E15">
        <w:rPr>
          <w:rFonts w:asciiTheme="majorHAnsi" w:hAnsiTheme="majorHAnsi"/>
        </w:rPr>
        <w:t>1.50 per share)</w:t>
      </w:r>
    </w:p>
    <w:tbl>
      <w:tblPr>
        <w:tblStyle w:val="LightList-Accent11"/>
        <w:tblW w:w="8620" w:type="dxa"/>
        <w:tblInd w:w="108" w:type="dxa"/>
        <w:tblLook w:val="04A0"/>
      </w:tblPr>
      <w:tblGrid>
        <w:gridCol w:w="3540"/>
        <w:gridCol w:w="1240"/>
        <w:gridCol w:w="960"/>
        <w:gridCol w:w="960"/>
        <w:gridCol w:w="960"/>
        <w:gridCol w:w="960"/>
      </w:tblGrid>
      <w:tr w:rsidR="008D1500" w:rsidRPr="00174785" w:rsidTr="00C90756">
        <w:trPr>
          <w:cnfStyle w:val="100000000000"/>
          <w:trHeight w:val="300"/>
        </w:trPr>
        <w:tc>
          <w:tcPr>
            <w:cnfStyle w:val="001000000000"/>
            <w:tcW w:w="3540" w:type="dxa"/>
            <w:noWrap/>
            <w:hideMark/>
          </w:tcPr>
          <w:p w:rsidR="008D1500" w:rsidRPr="00174785" w:rsidRDefault="008D1500" w:rsidP="00C90756">
            <w:pPr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174785">
              <w:rPr>
                <w:rFonts w:asciiTheme="majorHAnsi" w:eastAsia="Times New Roman" w:hAnsiTheme="majorHAnsi" w:cs="Calibri"/>
                <w:sz w:val="18"/>
                <w:szCs w:val="18"/>
              </w:rPr>
              <w:t>(In Rs. Cr.)</w:t>
            </w:r>
          </w:p>
        </w:tc>
        <w:tc>
          <w:tcPr>
            <w:tcW w:w="1240" w:type="dxa"/>
            <w:noWrap/>
            <w:hideMark/>
          </w:tcPr>
          <w:p w:rsidR="008D1500" w:rsidRPr="00174785" w:rsidRDefault="008D1500" w:rsidP="00C90756">
            <w:pPr>
              <w:jc w:val="right"/>
              <w:cnfStyle w:val="100000000000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174785">
              <w:rPr>
                <w:rFonts w:asciiTheme="majorHAnsi" w:eastAsia="Times New Roman" w:hAnsiTheme="majorHAnsi" w:cs="Calibri"/>
                <w:sz w:val="18"/>
                <w:szCs w:val="18"/>
              </w:rPr>
              <w:t>2011</w:t>
            </w:r>
          </w:p>
        </w:tc>
        <w:tc>
          <w:tcPr>
            <w:tcW w:w="960" w:type="dxa"/>
            <w:noWrap/>
            <w:hideMark/>
          </w:tcPr>
          <w:p w:rsidR="008D1500" w:rsidRPr="00174785" w:rsidRDefault="008D1500" w:rsidP="00C90756">
            <w:pPr>
              <w:jc w:val="right"/>
              <w:cnfStyle w:val="100000000000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174785">
              <w:rPr>
                <w:rFonts w:asciiTheme="majorHAnsi" w:eastAsia="Times New Roman" w:hAnsiTheme="majorHAnsi" w:cs="Calibri"/>
                <w:sz w:val="18"/>
                <w:szCs w:val="18"/>
              </w:rPr>
              <w:t>2012</w:t>
            </w:r>
          </w:p>
        </w:tc>
        <w:tc>
          <w:tcPr>
            <w:tcW w:w="960" w:type="dxa"/>
            <w:noWrap/>
            <w:hideMark/>
          </w:tcPr>
          <w:p w:rsidR="008D1500" w:rsidRPr="00174785" w:rsidRDefault="008D1500" w:rsidP="00C90756">
            <w:pPr>
              <w:jc w:val="right"/>
              <w:cnfStyle w:val="100000000000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174785">
              <w:rPr>
                <w:rFonts w:asciiTheme="majorHAnsi" w:eastAsia="Times New Roman" w:hAnsiTheme="majorHAnsi" w:cs="Calibri"/>
                <w:sz w:val="18"/>
                <w:szCs w:val="18"/>
              </w:rPr>
              <w:t>2013</w:t>
            </w:r>
          </w:p>
        </w:tc>
        <w:tc>
          <w:tcPr>
            <w:tcW w:w="960" w:type="dxa"/>
            <w:noWrap/>
            <w:hideMark/>
          </w:tcPr>
          <w:p w:rsidR="008D1500" w:rsidRPr="00174785" w:rsidRDefault="008D1500" w:rsidP="00C90756">
            <w:pPr>
              <w:jc w:val="right"/>
              <w:cnfStyle w:val="100000000000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174785">
              <w:rPr>
                <w:rFonts w:asciiTheme="majorHAnsi" w:eastAsia="Times New Roman" w:hAnsiTheme="majorHAnsi" w:cs="Calibri"/>
                <w:sz w:val="18"/>
                <w:szCs w:val="18"/>
              </w:rPr>
              <w:t>2014</w:t>
            </w:r>
          </w:p>
        </w:tc>
        <w:tc>
          <w:tcPr>
            <w:tcW w:w="960" w:type="dxa"/>
            <w:noWrap/>
            <w:hideMark/>
          </w:tcPr>
          <w:p w:rsidR="008D1500" w:rsidRPr="00174785" w:rsidRDefault="008D1500" w:rsidP="00C90756">
            <w:pPr>
              <w:jc w:val="right"/>
              <w:cnfStyle w:val="100000000000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174785">
              <w:rPr>
                <w:rFonts w:asciiTheme="majorHAnsi" w:eastAsia="Times New Roman" w:hAnsiTheme="majorHAnsi" w:cs="Calibri"/>
                <w:sz w:val="18"/>
                <w:szCs w:val="18"/>
              </w:rPr>
              <w:t>2015</w:t>
            </w:r>
          </w:p>
        </w:tc>
      </w:tr>
      <w:tr w:rsidR="008D1500" w:rsidRPr="00174785" w:rsidTr="00C90756">
        <w:trPr>
          <w:cnfStyle w:val="000000100000"/>
          <w:trHeight w:val="300"/>
        </w:trPr>
        <w:tc>
          <w:tcPr>
            <w:cnfStyle w:val="001000000000"/>
            <w:tcW w:w="3540" w:type="dxa"/>
            <w:noWrap/>
            <w:hideMark/>
          </w:tcPr>
          <w:p w:rsidR="008D1500" w:rsidRPr="00174785" w:rsidRDefault="008D1500" w:rsidP="00C90756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174785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Dividend Per share</w:t>
            </w:r>
          </w:p>
        </w:tc>
        <w:tc>
          <w:tcPr>
            <w:tcW w:w="1240" w:type="dxa"/>
            <w:noWrap/>
            <w:hideMark/>
          </w:tcPr>
          <w:p w:rsidR="008D1500" w:rsidRPr="00174785" w:rsidRDefault="008D1500" w:rsidP="00C90756">
            <w:pPr>
              <w:jc w:val="right"/>
              <w:cnfStyle w:val="000000100000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174785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960" w:type="dxa"/>
            <w:noWrap/>
            <w:hideMark/>
          </w:tcPr>
          <w:p w:rsidR="008D1500" w:rsidRPr="00174785" w:rsidRDefault="008D1500" w:rsidP="00C90756">
            <w:pPr>
              <w:jc w:val="right"/>
              <w:cnfStyle w:val="000000100000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174785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960" w:type="dxa"/>
            <w:noWrap/>
            <w:hideMark/>
          </w:tcPr>
          <w:p w:rsidR="008D1500" w:rsidRPr="00174785" w:rsidRDefault="008D1500" w:rsidP="00C90756">
            <w:pPr>
              <w:jc w:val="right"/>
              <w:cnfStyle w:val="000000100000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174785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8D1500" w:rsidRPr="00174785" w:rsidRDefault="008D1500" w:rsidP="00C90756">
            <w:pPr>
              <w:jc w:val="right"/>
              <w:cnfStyle w:val="000000100000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174785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960" w:type="dxa"/>
            <w:noWrap/>
            <w:hideMark/>
          </w:tcPr>
          <w:p w:rsidR="008D1500" w:rsidRPr="00174785" w:rsidRDefault="008D1500" w:rsidP="00C90756">
            <w:pPr>
              <w:jc w:val="right"/>
              <w:cnfStyle w:val="000000100000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174785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2.5</w:t>
            </w:r>
          </w:p>
        </w:tc>
      </w:tr>
    </w:tbl>
    <w:p w:rsidR="00271EE5" w:rsidRPr="00271EE5" w:rsidRDefault="00271EE5" w:rsidP="00271EE5">
      <w:pPr>
        <w:pStyle w:val="NoSpacing"/>
        <w:rPr>
          <w:rFonts w:asciiTheme="majorHAnsi" w:hAnsiTheme="majorHAnsi"/>
          <w:sz w:val="16"/>
          <w:szCs w:val="16"/>
        </w:rPr>
      </w:pPr>
      <w:r w:rsidRPr="00271EE5">
        <w:rPr>
          <w:rFonts w:asciiTheme="majorHAnsi" w:hAnsiTheme="majorHAnsi"/>
          <w:sz w:val="16"/>
          <w:szCs w:val="16"/>
        </w:rPr>
        <w:t>Source: Company</w:t>
      </w:r>
    </w:p>
    <w:p w:rsidR="008D1500" w:rsidRDefault="008D1500" w:rsidP="008D1500">
      <w:pPr>
        <w:pStyle w:val="NoSpacing"/>
        <w:rPr>
          <w:rFonts w:asciiTheme="majorHAnsi" w:hAnsiTheme="majorHAnsi"/>
        </w:rPr>
      </w:pPr>
    </w:p>
    <w:p w:rsidR="006367A3" w:rsidRPr="00A00256" w:rsidRDefault="008D1500" w:rsidP="007B5D79">
      <w:pPr>
        <w:pStyle w:val="NoSpacing"/>
        <w:rPr>
          <w:rFonts w:asciiTheme="majorHAnsi" w:hAnsiTheme="majorHAnsi"/>
        </w:rPr>
      </w:pPr>
      <w:r w:rsidRPr="00A00256">
        <w:rPr>
          <w:rFonts w:asciiTheme="majorHAnsi" w:hAnsiTheme="majorHAnsi"/>
          <w:b/>
        </w:rPr>
        <w:t xml:space="preserve">III. </w:t>
      </w:r>
      <w:r w:rsidR="006367A3" w:rsidRPr="00A00256">
        <w:rPr>
          <w:rFonts w:asciiTheme="majorHAnsi" w:hAnsiTheme="majorHAnsi"/>
          <w:b/>
        </w:rPr>
        <w:t>Suitable environment</w:t>
      </w:r>
      <w:r w:rsidR="006367A3" w:rsidRPr="00A00256">
        <w:rPr>
          <w:rFonts w:asciiTheme="majorHAnsi" w:hAnsiTheme="majorHAnsi"/>
        </w:rPr>
        <w:t xml:space="preserve">: </w:t>
      </w:r>
      <w:r w:rsidR="00F61C17" w:rsidRPr="00A00256">
        <w:rPr>
          <w:rFonts w:asciiTheme="majorHAnsi" w:hAnsiTheme="majorHAnsi"/>
        </w:rPr>
        <w:t xml:space="preserve">In </w:t>
      </w:r>
      <w:r w:rsidR="00A00256" w:rsidRPr="00A00256">
        <w:rPr>
          <w:rFonts w:asciiTheme="majorHAnsi" w:hAnsiTheme="majorHAnsi"/>
        </w:rPr>
        <w:t>April</w:t>
      </w:r>
      <w:r w:rsidR="00F61C17" w:rsidRPr="00A00256">
        <w:rPr>
          <w:rFonts w:asciiTheme="majorHAnsi" w:hAnsiTheme="majorHAnsi"/>
        </w:rPr>
        <w:t xml:space="preserve"> 2015, the copra </w:t>
      </w:r>
      <w:r w:rsidR="00F61C17" w:rsidRPr="00A00256">
        <w:rPr>
          <w:rFonts w:asciiTheme="majorHAnsi" w:hAnsiTheme="majorHAnsi"/>
          <w:color w:val="3B3A39"/>
          <w:shd w:val="clear" w:color="auto" w:fill="FFFFFF"/>
        </w:rPr>
        <w:t xml:space="preserve">was sold at Rs. </w:t>
      </w:r>
      <w:r w:rsidR="00A00256" w:rsidRPr="00A00256">
        <w:rPr>
          <w:rFonts w:asciiTheme="majorHAnsi" w:hAnsiTheme="majorHAnsi"/>
          <w:color w:val="3B3A39"/>
          <w:shd w:val="clear" w:color="auto" w:fill="FFFFFF"/>
        </w:rPr>
        <w:t xml:space="preserve">99-100 per kg. </w:t>
      </w:r>
      <w:r w:rsidR="00F61C17" w:rsidRPr="00A00256">
        <w:rPr>
          <w:rFonts w:asciiTheme="majorHAnsi" w:hAnsiTheme="majorHAnsi"/>
        </w:rPr>
        <w:t>T</w:t>
      </w:r>
      <w:r w:rsidR="006367A3" w:rsidRPr="00A00256">
        <w:rPr>
          <w:rFonts w:asciiTheme="majorHAnsi" w:hAnsiTheme="majorHAnsi"/>
        </w:rPr>
        <w:t xml:space="preserve">he </w:t>
      </w:r>
      <w:r w:rsidR="00483C2D" w:rsidRPr="00A00256">
        <w:rPr>
          <w:rFonts w:asciiTheme="majorHAnsi" w:hAnsiTheme="majorHAnsi"/>
        </w:rPr>
        <w:t xml:space="preserve">Agro Marketing Intelligence and Business Promotion Centre of TNAU have said that the price of copra will be around Rs. 50- 53 per kg during January to March 2016. </w:t>
      </w:r>
    </w:p>
    <w:p w:rsidR="006367A3" w:rsidRPr="00A00256" w:rsidRDefault="006367A3" w:rsidP="007B5D79">
      <w:pPr>
        <w:pStyle w:val="NoSpacing"/>
        <w:rPr>
          <w:rFonts w:asciiTheme="majorHAnsi" w:hAnsiTheme="majorHAnsi"/>
        </w:rPr>
      </w:pPr>
    </w:p>
    <w:p w:rsidR="00483C2D" w:rsidRPr="00A00256" w:rsidRDefault="00483C2D" w:rsidP="007B5D79">
      <w:pPr>
        <w:pStyle w:val="NoSpacing"/>
        <w:rPr>
          <w:rFonts w:asciiTheme="majorHAnsi" w:hAnsiTheme="majorHAnsi"/>
        </w:rPr>
      </w:pPr>
      <w:r w:rsidRPr="00A00256">
        <w:rPr>
          <w:rFonts w:asciiTheme="majorHAnsi" w:hAnsiTheme="majorHAnsi"/>
          <w:i/>
          <w:u w:val="single"/>
        </w:rPr>
        <w:t>Why is this important</w:t>
      </w:r>
      <w:r w:rsidRPr="00A00256">
        <w:rPr>
          <w:rFonts w:asciiTheme="majorHAnsi" w:hAnsiTheme="majorHAnsi"/>
          <w:u w:val="single"/>
        </w:rPr>
        <w:t>?</w:t>
      </w:r>
      <w:r w:rsidRPr="00A00256">
        <w:rPr>
          <w:rFonts w:asciiTheme="majorHAnsi" w:hAnsiTheme="majorHAnsi"/>
        </w:rPr>
        <w:t xml:space="preserve"> Copra is one of </w:t>
      </w:r>
      <w:r w:rsidR="00F61C17" w:rsidRPr="00A00256">
        <w:rPr>
          <w:rFonts w:asciiTheme="majorHAnsi" w:hAnsiTheme="majorHAnsi"/>
        </w:rPr>
        <w:t>main</w:t>
      </w:r>
      <w:r w:rsidRPr="00A00256">
        <w:rPr>
          <w:rFonts w:asciiTheme="majorHAnsi" w:hAnsiTheme="majorHAnsi"/>
        </w:rPr>
        <w:t xml:space="preserve"> raw material</w:t>
      </w:r>
      <w:r w:rsidR="008D1500" w:rsidRPr="00A00256">
        <w:rPr>
          <w:rFonts w:asciiTheme="majorHAnsi" w:hAnsiTheme="majorHAnsi"/>
        </w:rPr>
        <w:t>s</w:t>
      </w:r>
      <w:r w:rsidRPr="00A00256">
        <w:rPr>
          <w:rFonts w:asciiTheme="majorHAnsi" w:hAnsiTheme="majorHAnsi"/>
        </w:rPr>
        <w:t xml:space="preserve"> for Marico</w:t>
      </w:r>
      <w:r w:rsidR="00926638">
        <w:rPr>
          <w:rFonts w:asciiTheme="majorHAnsi" w:hAnsiTheme="majorHAnsi"/>
        </w:rPr>
        <w:t>.</w:t>
      </w:r>
      <w:r w:rsidR="008D1500" w:rsidRPr="00A00256">
        <w:rPr>
          <w:rFonts w:asciiTheme="majorHAnsi" w:hAnsiTheme="majorHAnsi"/>
        </w:rPr>
        <w:t xml:space="preserve"> </w:t>
      </w:r>
      <w:r w:rsidR="00926638">
        <w:rPr>
          <w:rFonts w:asciiTheme="majorHAnsi" w:hAnsiTheme="majorHAnsi"/>
        </w:rPr>
        <w:t>T</w:t>
      </w:r>
      <w:r w:rsidR="008D1500" w:rsidRPr="00A00256">
        <w:rPr>
          <w:rFonts w:asciiTheme="majorHAnsi" w:hAnsiTheme="majorHAnsi"/>
        </w:rPr>
        <w:t xml:space="preserve">he price of copra has been up by 60% in FY15 as compared to </w:t>
      </w:r>
      <w:r w:rsidR="00926638">
        <w:rPr>
          <w:rFonts w:asciiTheme="majorHAnsi" w:hAnsiTheme="majorHAnsi"/>
        </w:rPr>
        <w:t>FY14,</w:t>
      </w:r>
      <w:r w:rsidR="008D1500" w:rsidRPr="00A00256">
        <w:rPr>
          <w:rFonts w:asciiTheme="majorHAnsi" w:hAnsiTheme="majorHAnsi"/>
        </w:rPr>
        <w:t xml:space="preserve"> copra accounts for a major proportion of input costs, </w:t>
      </w:r>
      <w:r w:rsidR="00926638">
        <w:rPr>
          <w:rFonts w:asciiTheme="majorHAnsi" w:hAnsiTheme="majorHAnsi"/>
        </w:rPr>
        <w:t xml:space="preserve">hence </w:t>
      </w:r>
      <w:r w:rsidR="008D1500" w:rsidRPr="00A00256">
        <w:rPr>
          <w:rFonts w:asciiTheme="majorHAnsi" w:hAnsiTheme="majorHAnsi"/>
        </w:rPr>
        <w:t>the Company’s gross margins declined by 321 bps during FY15.</w:t>
      </w:r>
    </w:p>
    <w:p w:rsidR="00483C2D" w:rsidRPr="00A00256" w:rsidRDefault="00483C2D" w:rsidP="007B5D79">
      <w:pPr>
        <w:pStyle w:val="NoSpacing"/>
        <w:rPr>
          <w:rFonts w:asciiTheme="majorHAnsi" w:hAnsiTheme="majorHAnsi"/>
        </w:rPr>
      </w:pPr>
    </w:p>
    <w:p w:rsidR="009B6E6D" w:rsidRPr="00A00256" w:rsidRDefault="00926638" w:rsidP="007B5D79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Hence declining </w:t>
      </w:r>
      <w:r w:rsidRPr="00A00256">
        <w:rPr>
          <w:rFonts w:asciiTheme="majorHAnsi" w:hAnsiTheme="majorHAnsi"/>
        </w:rPr>
        <w:t xml:space="preserve">copra </w:t>
      </w:r>
      <w:r>
        <w:rPr>
          <w:rFonts w:asciiTheme="majorHAnsi" w:hAnsiTheme="majorHAnsi"/>
        </w:rPr>
        <w:t xml:space="preserve">prices helps Marico to improve its margins. </w:t>
      </w:r>
      <w:r w:rsidR="009B6E6D" w:rsidRPr="00A00256">
        <w:rPr>
          <w:rFonts w:asciiTheme="majorHAnsi" w:hAnsiTheme="majorHAnsi"/>
        </w:rPr>
        <w:t>Depending upon the speed and extent of the deflation of copra prices, the company expects to deliver a volume growth of 5-7% in the near term.</w:t>
      </w:r>
      <w:r w:rsidR="00FC59BF" w:rsidRPr="00A00256">
        <w:rPr>
          <w:rFonts w:asciiTheme="majorHAnsi" w:hAnsiTheme="majorHAnsi"/>
        </w:rPr>
        <w:t xml:space="preserve"> </w:t>
      </w:r>
    </w:p>
    <w:p w:rsidR="009B6E6D" w:rsidRPr="008D1500" w:rsidRDefault="009B6E6D" w:rsidP="007B5D79">
      <w:pPr>
        <w:pStyle w:val="NoSpacing"/>
        <w:rPr>
          <w:rFonts w:asciiTheme="majorHAnsi" w:hAnsiTheme="majorHAnsi"/>
        </w:rPr>
      </w:pPr>
    </w:p>
    <w:p w:rsidR="00737F9A" w:rsidRDefault="008D1500" w:rsidP="007B5D79">
      <w:pPr>
        <w:pStyle w:val="NoSpacing"/>
        <w:rPr>
          <w:rFonts w:asciiTheme="majorHAnsi" w:hAnsiTheme="majorHAnsi"/>
          <w:b/>
        </w:rPr>
      </w:pPr>
      <w:r w:rsidRPr="008D1500">
        <w:rPr>
          <w:rFonts w:asciiTheme="majorHAnsi" w:hAnsiTheme="majorHAnsi"/>
          <w:b/>
        </w:rPr>
        <w:t xml:space="preserve">IV. </w:t>
      </w:r>
      <w:r w:rsidR="003462E2" w:rsidRPr="008D1500">
        <w:rPr>
          <w:rFonts w:asciiTheme="majorHAnsi" w:hAnsiTheme="majorHAnsi"/>
          <w:b/>
        </w:rPr>
        <w:t>Volume Market Shares</w:t>
      </w:r>
      <w:r w:rsidR="00737F9A" w:rsidRPr="008D1500">
        <w:rPr>
          <w:rFonts w:asciiTheme="majorHAnsi" w:hAnsiTheme="majorHAnsi"/>
          <w:b/>
        </w:rPr>
        <w:t>:</w:t>
      </w:r>
    </w:p>
    <w:p w:rsidR="009B6E6D" w:rsidRDefault="008D1500" w:rsidP="007B5D79">
      <w:pPr>
        <w:pStyle w:val="NoSpacing"/>
        <w:rPr>
          <w:rFonts w:asciiTheme="majorHAnsi" w:hAnsiTheme="majorHAnsi"/>
        </w:rPr>
      </w:pPr>
      <w:r w:rsidRPr="009B6E6D">
        <w:rPr>
          <w:rFonts w:asciiTheme="majorHAnsi" w:hAnsiTheme="majorHAnsi"/>
        </w:rPr>
        <w:t xml:space="preserve">The company </w:t>
      </w:r>
      <w:r w:rsidR="00926638">
        <w:rPr>
          <w:rFonts w:asciiTheme="majorHAnsi" w:hAnsiTheme="majorHAnsi"/>
        </w:rPr>
        <w:t xml:space="preserve">has sizable market share in India in the coconut oil industry and </w:t>
      </w:r>
      <w:r w:rsidRPr="009B6E6D">
        <w:rPr>
          <w:rFonts w:asciiTheme="majorHAnsi" w:hAnsiTheme="majorHAnsi"/>
        </w:rPr>
        <w:t xml:space="preserve">is constantly making efforts to gain market share in rural India. </w:t>
      </w:r>
    </w:p>
    <w:p w:rsidR="009B6E6D" w:rsidRPr="00A00256" w:rsidRDefault="009B6E6D" w:rsidP="007B5D79">
      <w:pPr>
        <w:pStyle w:val="NoSpacing"/>
        <w:rPr>
          <w:rFonts w:asciiTheme="majorHAnsi" w:hAnsiTheme="majorHAnsi"/>
        </w:rPr>
      </w:pPr>
    </w:p>
    <w:p w:rsidR="008D1500" w:rsidRPr="00A00256" w:rsidRDefault="009B6E6D" w:rsidP="007B5D79">
      <w:pPr>
        <w:pStyle w:val="NoSpacing"/>
        <w:rPr>
          <w:rFonts w:asciiTheme="majorHAnsi" w:hAnsiTheme="majorHAnsi"/>
          <w:b/>
        </w:rPr>
      </w:pPr>
      <w:r w:rsidRPr="00A00256">
        <w:rPr>
          <w:rFonts w:asciiTheme="majorHAnsi" w:hAnsiTheme="majorHAnsi"/>
          <w:i/>
          <w:u w:val="single"/>
        </w:rPr>
        <w:t>Coconut oil:</w:t>
      </w:r>
      <w:r w:rsidRPr="00A00256">
        <w:rPr>
          <w:rFonts w:asciiTheme="majorHAnsi" w:hAnsiTheme="majorHAnsi"/>
        </w:rPr>
        <w:t xml:space="preserve"> </w:t>
      </w:r>
      <w:r w:rsidR="008D1500" w:rsidRPr="00A00256">
        <w:rPr>
          <w:rFonts w:asciiTheme="majorHAnsi" w:hAnsiTheme="majorHAnsi"/>
        </w:rPr>
        <w:t xml:space="preserve">The branded coconut oil market size is INR 4,500 </w:t>
      </w:r>
      <w:r w:rsidRPr="00A00256">
        <w:rPr>
          <w:rFonts w:asciiTheme="majorHAnsi" w:hAnsiTheme="majorHAnsi"/>
        </w:rPr>
        <w:t>crores</w:t>
      </w:r>
      <w:r w:rsidR="008D1500" w:rsidRPr="00A00256">
        <w:rPr>
          <w:rFonts w:asciiTheme="majorHAnsi" w:hAnsiTheme="majorHAnsi"/>
        </w:rPr>
        <w:t xml:space="preserve"> and approximately 35-40% in volume terms which is still in loose form. </w:t>
      </w:r>
      <w:r w:rsidR="00C77566">
        <w:rPr>
          <w:rFonts w:asciiTheme="majorHAnsi" w:hAnsiTheme="majorHAnsi"/>
        </w:rPr>
        <w:t>The company expects that</w:t>
      </w:r>
      <w:r w:rsidR="008D1500" w:rsidRPr="00A00256">
        <w:rPr>
          <w:rFonts w:asciiTheme="majorHAnsi" w:hAnsiTheme="majorHAnsi"/>
        </w:rPr>
        <w:t xml:space="preserve"> the loose component provides </w:t>
      </w:r>
      <w:r w:rsidR="008D1500" w:rsidRPr="00A00256">
        <w:rPr>
          <w:rFonts w:asciiTheme="majorHAnsi" w:hAnsiTheme="majorHAnsi"/>
        </w:rPr>
        <w:lastRenderedPageBreak/>
        <w:t xml:space="preserve">headroom for growth to the branded players. </w:t>
      </w:r>
      <w:r w:rsidRPr="00A00256">
        <w:rPr>
          <w:rFonts w:asciiTheme="majorHAnsi" w:hAnsiTheme="majorHAnsi"/>
        </w:rPr>
        <w:t>In Q3FY16 and YTDFY16, Parachute Coconut Oil had 4% and 7% volume growth respectively.</w:t>
      </w:r>
    </w:p>
    <w:p w:rsidR="008D1500" w:rsidRPr="00A00256" w:rsidRDefault="008D1500" w:rsidP="007B5D79">
      <w:pPr>
        <w:pStyle w:val="NoSpacing"/>
        <w:rPr>
          <w:rFonts w:asciiTheme="majorHAnsi" w:hAnsiTheme="majorHAnsi"/>
          <w:b/>
        </w:rPr>
      </w:pPr>
    </w:p>
    <w:p w:rsidR="009B6E6D" w:rsidRPr="00A00256" w:rsidRDefault="009B6E6D" w:rsidP="007B5D79">
      <w:pPr>
        <w:pStyle w:val="NoSpacing"/>
        <w:rPr>
          <w:rFonts w:asciiTheme="majorHAnsi" w:hAnsiTheme="majorHAnsi"/>
          <w:b/>
        </w:rPr>
      </w:pPr>
      <w:proofErr w:type="spellStart"/>
      <w:r w:rsidRPr="00A00256">
        <w:rPr>
          <w:rFonts w:asciiTheme="majorHAnsi" w:hAnsiTheme="majorHAnsi"/>
          <w:i/>
          <w:u w:val="single"/>
        </w:rPr>
        <w:t>Saffola</w:t>
      </w:r>
      <w:proofErr w:type="spellEnd"/>
      <w:r w:rsidRPr="00A00256">
        <w:rPr>
          <w:rFonts w:asciiTheme="majorHAnsi" w:hAnsiTheme="majorHAnsi"/>
          <w:i/>
          <w:u w:val="single"/>
        </w:rPr>
        <w:t xml:space="preserve"> - Super premium refined edible oils and breakfast cereals</w:t>
      </w:r>
      <w:r w:rsidRPr="00A00256">
        <w:rPr>
          <w:rFonts w:asciiTheme="majorHAnsi" w:hAnsiTheme="majorHAnsi"/>
        </w:rPr>
        <w:t xml:space="preserve">: </w:t>
      </w:r>
      <w:proofErr w:type="spellStart"/>
      <w:r w:rsidRPr="00A00256">
        <w:rPr>
          <w:rFonts w:asciiTheme="majorHAnsi" w:hAnsiTheme="majorHAnsi"/>
        </w:rPr>
        <w:t>Saffola</w:t>
      </w:r>
      <w:proofErr w:type="spellEnd"/>
      <w:r w:rsidRPr="00A00256">
        <w:rPr>
          <w:rFonts w:asciiTheme="majorHAnsi" w:hAnsiTheme="majorHAnsi"/>
        </w:rPr>
        <w:t xml:space="preserve"> Oats has 25% market share in </w:t>
      </w:r>
      <w:r w:rsidR="00764836" w:rsidRPr="00A00256">
        <w:rPr>
          <w:rFonts w:asciiTheme="majorHAnsi" w:hAnsiTheme="majorHAnsi"/>
        </w:rPr>
        <w:t>I</w:t>
      </w:r>
      <w:r w:rsidRPr="00A00256">
        <w:rPr>
          <w:rFonts w:asciiTheme="majorHAnsi" w:hAnsiTheme="majorHAnsi"/>
        </w:rPr>
        <w:t xml:space="preserve">ndia </w:t>
      </w:r>
      <w:r w:rsidR="00764836" w:rsidRPr="00A00256">
        <w:rPr>
          <w:rFonts w:asciiTheme="majorHAnsi" w:hAnsiTheme="majorHAnsi"/>
        </w:rPr>
        <w:t>and has No. 2 rank in the market. The company predicts that it will reach Rs. 120 crores in this year and Rs. 200 Crores by FY18.</w:t>
      </w:r>
      <w:r w:rsidR="00A00256" w:rsidRPr="00A00256">
        <w:rPr>
          <w:rFonts w:asciiTheme="majorHAnsi" w:hAnsiTheme="majorHAnsi"/>
        </w:rPr>
        <w:t xml:space="preserve"> </w:t>
      </w:r>
      <w:proofErr w:type="spellStart"/>
      <w:r w:rsidR="00A00256" w:rsidRPr="00A00256">
        <w:rPr>
          <w:rFonts w:asciiTheme="majorHAnsi" w:hAnsiTheme="majorHAnsi"/>
        </w:rPr>
        <w:t>Saffola</w:t>
      </w:r>
      <w:proofErr w:type="spellEnd"/>
      <w:r w:rsidR="00A00256" w:rsidRPr="00A00256">
        <w:rPr>
          <w:rFonts w:asciiTheme="majorHAnsi" w:hAnsiTheme="majorHAnsi"/>
        </w:rPr>
        <w:t xml:space="preserve"> </w:t>
      </w:r>
      <w:proofErr w:type="spellStart"/>
      <w:r w:rsidR="00A00256" w:rsidRPr="00A00256">
        <w:rPr>
          <w:rFonts w:asciiTheme="majorHAnsi" w:hAnsiTheme="majorHAnsi"/>
        </w:rPr>
        <w:t>Masala</w:t>
      </w:r>
      <w:proofErr w:type="spellEnd"/>
      <w:r w:rsidR="00A00256" w:rsidRPr="00A00256">
        <w:rPr>
          <w:rFonts w:asciiTheme="majorHAnsi" w:hAnsiTheme="majorHAnsi"/>
        </w:rPr>
        <w:t xml:space="preserve"> Oats has launched two new </w:t>
      </w:r>
      <w:proofErr w:type="spellStart"/>
      <w:r w:rsidR="00A00256" w:rsidRPr="00A00256">
        <w:rPr>
          <w:rFonts w:asciiTheme="majorHAnsi" w:hAnsiTheme="majorHAnsi"/>
        </w:rPr>
        <w:t>flavours</w:t>
      </w:r>
      <w:proofErr w:type="spellEnd"/>
      <w:r w:rsidR="00A00256" w:rsidRPr="00A00256">
        <w:rPr>
          <w:rFonts w:asciiTheme="majorHAnsi" w:hAnsiTheme="majorHAnsi"/>
        </w:rPr>
        <w:t xml:space="preserve"> viz. “Chinese and Italian” during January 2016 </w:t>
      </w:r>
      <w:r w:rsidR="00271EE5">
        <w:rPr>
          <w:rFonts w:asciiTheme="majorHAnsi" w:hAnsiTheme="majorHAnsi"/>
        </w:rPr>
        <w:t>to gain market share</w:t>
      </w:r>
      <w:r w:rsidR="00A00256" w:rsidRPr="00A00256">
        <w:rPr>
          <w:rFonts w:asciiTheme="majorHAnsi" w:hAnsiTheme="majorHAnsi"/>
        </w:rPr>
        <w:t>.</w:t>
      </w:r>
    </w:p>
    <w:p w:rsidR="009B6E6D" w:rsidRPr="008D1500" w:rsidRDefault="009B6E6D" w:rsidP="007B5D79">
      <w:pPr>
        <w:pStyle w:val="NoSpacing"/>
        <w:rPr>
          <w:rFonts w:asciiTheme="majorHAnsi" w:hAnsiTheme="majorHAnsi"/>
          <w:b/>
        </w:rPr>
      </w:pPr>
    </w:p>
    <w:tbl>
      <w:tblPr>
        <w:tblStyle w:val="LightList-Accent11"/>
        <w:tblW w:w="9161" w:type="dxa"/>
        <w:tblInd w:w="108" w:type="dxa"/>
        <w:tblLook w:val="04A0"/>
      </w:tblPr>
      <w:tblGrid>
        <w:gridCol w:w="6961"/>
        <w:gridCol w:w="1240"/>
        <w:gridCol w:w="960"/>
      </w:tblGrid>
      <w:tr w:rsidR="003462E2" w:rsidRPr="003462E2" w:rsidTr="003462E2">
        <w:trPr>
          <w:cnfStyle w:val="100000000000"/>
          <w:trHeight w:val="300"/>
        </w:trPr>
        <w:tc>
          <w:tcPr>
            <w:cnfStyle w:val="001000000000"/>
            <w:tcW w:w="6961" w:type="dxa"/>
            <w:noWrap/>
            <w:hideMark/>
          </w:tcPr>
          <w:p w:rsidR="003462E2" w:rsidRPr="003462E2" w:rsidRDefault="003462E2" w:rsidP="003462E2">
            <w:pPr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3462E2">
              <w:rPr>
                <w:rFonts w:asciiTheme="majorHAnsi" w:eastAsia="Times New Roman" w:hAnsiTheme="majorHAnsi" w:cs="Calibri"/>
                <w:sz w:val="18"/>
                <w:szCs w:val="18"/>
              </w:rPr>
              <w:t>Brand &amp; Territory</w:t>
            </w:r>
          </w:p>
        </w:tc>
        <w:tc>
          <w:tcPr>
            <w:tcW w:w="1240" w:type="dxa"/>
            <w:noWrap/>
            <w:hideMark/>
          </w:tcPr>
          <w:p w:rsidR="003462E2" w:rsidRPr="003462E2" w:rsidRDefault="003462E2" w:rsidP="003462E2">
            <w:pPr>
              <w:jc w:val="center"/>
              <w:cnfStyle w:val="100000000000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3462E2">
              <w:rPr>
                <w:rFonts w:asciiTheme="majorHAnsi" w:eastAsia="Times New Roman" w:hAnsiTheme="majorHAnsi" w:cs="Calibri"/>
                <w:sz w:val="18"/>
                <w:szCs w:val="18"/>
              </w:rPr>
              <w:t>Market Shares</w:t>
            </w:r>
          </w:p>
        </w:tc>
        <w:tc>
          <w:tcPr>
            <w:tcW w:w="960" w:type="dxa"/>
            <w:noWrap/>
            <w:hideMark/>
          </w:tcPr>
          <w:p w:rsidR="003462E2" w:rsidRPr="003462E2" w:rsidRDefault="003462E2" w:rsidP="003462E2">
            <w:pPr>
              <w:jc w:val="center"/>
              <w:cnfStyle w:val="100000000000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3462E2">
              <w:rPr>
                <w:rFonts w:asciiTheme="majorHAnsi" w:eastAsia="Times New Roman" w:hAnsiTheme="majorHAnsi" w:cs="Calibri"/>
                <w:sz w:val="18"/>
                <w:szCs w:val="18"/>
              </w:rPr>
              <w:t>Rank</w:t>
            </w:r>
          </w:p>
        </w:tc>
      </w:tr>
      <w:tr w:rsidR="003462E2" w:rsidRPr="003462E2" w:rsidTr="003462E2">
        <w:trPr>
          <w:cnfStyle w:val="000000100000"/>
          <w:trHeight w:val="300"/>
        </w:trPr>
        <w:tc>
          <w:tcPr>
            <w:cnfStyle w:val="001000000000"/>
            <w:tcW w:w="6961" w:type="dxa"/>
            <w:noWrap/>
            <w:hideMark/>
          </w:tcPr>
          <w:p w:rsidR="003462E2" w:rsidRPr="003462E2" w:rsidRDefault="003462E2" w:rsidP="003462E2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3462E2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Coconut Oils (India) (Parachute and </w:t>
            </w:r>
            <w:proofErr w:type="spellStart"/>
            <w:r w:rsidRPr="003462E2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Nihar</w:t>
            </w:r>
            <w:proofErr w:type="spellEnd"/>
            <w:r w:rsidRPr="003462E2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1240" w:type="dxa"/>
            <w:noWrap/>
            <w:hideMark/>
          </w:tcPr>
          <w:p w:rsidR="003462E2" w:rsidRPr="003462E2" w:rsidRDefault="003462E2" w:rsidP="003462E2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3462E2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57%</w:t>
            </w:r>
          </w:p>
        </w:tc>
        <w:tc>
          <w:tcPr>
            <w:tcW w:w="960" w:type="dxa"/>
            <w:noWrap/>
            <w:hideMark/>
          </w:tcPr>
          <w:p w:rsidR="003462E2" w:rsidRPr="003462E2" w:rsidRDefault="003462E2" w:rsidP="003462E2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3462E2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1st</w:t>
            </w:r>
          </w:p>
        </w:tc>
      </w:tr>
      <w:tr w:rsidR="003462E2" w:rsidRPr="003462E2" w:rsidTr="003462E2">
        <w:trPr>
          <w:trHeight w:val="300"/>
        </w:trPr>
        <w:tc>
          <w:tcPr>
            <w:cnfStyle w:val="001000000000"/>
            <w:tcW w:w="6961" w:type="dxa"/>
            <w:noWrap/>
            <w:hideMark/>
          </w:tcPr>
          <w:p w:rsidR="003462E2" w:rsidRPr="003462E2" w:rsidRDefault="003462E2" w:rsidP="003462E2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proofErr w:type="spellStart"/>
            <w:r w:rsidRPr="003462E2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Saffola</w:t>
            </w:r>
            <w:proofErr w:type="spellEnd"/>
            <w:r w:rsidRPr="003462E2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 (Refined Oils) – Super Premium Refined Oils in Consumer Packs (India)</w:t>
            </w:r>
          </w:p>
        </w:tc>
        <w:tc>
          <w:tcPr>
            <w:tcW w:w="1240" w:type="dxa"/>
            <w:noWrap/>
            <w:hideMark/>
          </w:tcPr>
          <w:p w:rsidR="003462E2" w:rsidRPr="003462E2" w:rsidRDefault="003462E2" w:rsidP="003462E2">
            <w:pPr>
              <w:jc w:val="center"/>
              <w:cnfStyle w:val="000000000000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3462E2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60%</w:t>
            </w:r>
          </w:p>
        </w:tc>
        <w:tc>
          <w:tcPr>
            <w:tcW w:w="960" w:type="dxa"/>
            <w:noWrap/>
            <w:hideMark/>
          </w:tcPr>
          <w:p w:rsidR="003462E2" w:rsidRPr="003462E2" w:rsidRDefault="003462E2" w:rsidP="003462E2">
            <w:pPr>
              <w:jc w:val="center"/>
              <w:cnfStyle w:val="000000000000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3462E2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1st</w:t>
            </w:r>
          </w:p>
        </w:tc>
      </w:tr>
      <w:tr w:rsidR="003462E2" w:rsidRPr="003462E2" w:rsidTr="003462E2">
        <w:trPr>
          <w:cnfStyle w:val="000000100000"/>
          <w:trHeight w:val="300"/>
        </w:trPr>
        <w:tc>
          <w:tcPr>
            <w:cnfStyle w:val="001000000000"/>
            <w:tcW w:w="6961" w:type="dxa"/>
            <w:noWrap/>
            <w:hideMark/>
          </w:tcPr>
          <w:p w:rsidR="003462E2" w:rsidRPr="003462E2" w:rsidRDefault="003462E2" w:rsidP="003462E2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3462E2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Parachute Coconut Oil (Bangladesh) </w:t>
            </w:r>
          </w:p>
        </w:tc>
        <w:tc>
          <w:tcPr>
            <w:tcW w:w="1240" w:type="dxa"/>
            <w:noWrap/>
            <w:hideMark/>
          </w:tcPr>
          <w:p w:rsidR="003462E2" w:rsidRPr="003462E2" w:rsidRDefault="003462E2" w:rsidP="003462E2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3462E2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82%</w:t>
            </w:r>
          </w:p>
        </w:tc>
        <w:tc>
          <w:tcPr>
            <w:tcW w:w="960" w:type="dxa"/>
            <w:noWrap/>
            <w:hideMark/>
          </w:tcPr>
          <w:p w:rsidR="003462E2" w:rsidRPr="003462E2" w:rsidRDefault="003462E2" w:rsidP="003462E2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3462E2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1st</w:t>
            </w:r>
          </w:p>
        </w:tc>
      </w:tr>
      <w:tr w:rsidR="003462E2" w:rsidRPr="003462E2" w:rsidTr="003462E2">
        <w:trPr>
          <w:trHeight w:val="300"/>
        </w:trPr>
        <w:tc>
          <w:tcPr>
            <w:cnfStyle w:val="001000000000"/>
            <w:tcW w:w="6961" w:type="dxa"/>
            <w:noWrap/>
            <w:hideMark/>
          </w:tcPr>
          <w:p w:rsidR="003462E2" w:rsidRPr="003462E2" w:rsidRDefault="003462E2" w:rsidP="003462E2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3462E2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Post wash Leave-On Serums (India) (</w:t>
            </w:r>
            <w:proofErr w:type="spellStart"/>
            <w:r w:rsidRPr="003462E2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Livon</w:t>
            </w:r>
            <w:proofErr w:type="spellEnd"/>
            <w:r w:rsidRPr="003462E2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 and Silk &amp; Shine)</w:t>
            </w:r>
          </w:p>
        </w:tc>
        <w:tc>
          <w:tcPr>
            <w:tcW w:w="1240" w:type="dxa"/>
            <w:noWrap/>
            <w:hideMark/>
          </w:tcPr>
          <w:p w:rsidR="003462E2" w:rsidRPr="003462E2" w:rsidRDefault="003462E2" w:rsidP="003462E2">
            <w:pPr>
              <w:jc w:val="center"/>
              <w:cnfStyle w:val="000000000000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3462E2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79%</w:t>
            </w:r>
          </w:p>
        </w:tc>
        <w:tc>
          <w:tcPr>
            <w:tcW w:w="960" w:type="dxa"/>
            <w:noWrap/>
            <w:hideMark/>
          </w:tcPr>
          <w:p w:rsidR="003462E2" w:rsidRPr="003462E2" w:rsidRDefault="003462E2" w:rsidP="003462E2">
            <w:pPr>
              <w:jc w:val="center"/>
              <w:cnfStyle w:val="000000000000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3462E2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1st</w:t>
            </w:r>
          </w:p>
        </w:tc>
      </w:tr>
      <w:tr w:rsidR="003462E2" w:rsidRPr="003462E2" w:rsidTr="003462E2">
        <w:trPr>
          <w:cnfStyle w:val="000000100000"/>
          <w:trHeight w:val="300"/>
        </w:trPr>
        <w:tc>
          <w:tcPr>
            <w:cnfStyle w:val="001000000000"/>
            <w:tcW w:w="6961" w:type="dxa"/>
            <w:noWrap/>
            <w:hideMark/>
          </w:tcPr>
          <w:p w:rsidR="003462E2" w:rsidRPr="003462E2" w:rsidRDefault="003462E2" w:rsidP="003462E2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3462E2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Hair Oils (India) (Parachute </w:t>
            </w:r>
            <w:proofErr w:type="spellStart"/>
            <w:r w:rsidRPr="003462E2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Advansed</w:t>
            </w:r>
            <w:proofErr w:type="spellEnd"/>
            <w:r w:rsidRPr="003462E2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462E2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Nihar</w:t>
            </w:r>
            <w:proofErr w:type="spellEnd"/>
            <w:r w:rsidRPr="003462E2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, Hair &amp; Care)</w:t>
            </w:r>
          </w:p>
        </w:tc>
        <w:tc>
          <w:tcPr>
            <w:tcW w:w="1240" w:type="dxa"/>
            <w:noWrap/>
            <w:hideMark/>
          </w:tcPr>
          <w:p w:rsidR="003462E2" w:rsidRPr="003462E2" w:rsidRDefault="003462E2" w:rsidP="003462E2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3462E2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30%</w:t>
            </w:r>
          </w:p>
        </w:tc>
        <w:tc>
          <w:tcPr>
            <w:tcW w:w="960" w:type="dxa"/>
            <w:noWrap/>
            <w:hideMark/>
          </w:tcPr>
          <w:p w:rsidR="003462E2" w:rsidRPr="003462E2" w:rsidRDefault="003462E2" w:rsidP="003462E2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3462E2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1st</w:t>
            </w:r>
          </w:p>
        </w:tc>
      </w:tr>
      <w:tr w:rsidR="003462E2" w:rsidRPr="003462E2" w:rsidTr="003462E2">
        <w:trPr>
          <w:trHeight w:val="300"/>
        </w:trPr>
        <w:tc>
          <w:tcPr>
            <w:cnfStyle w:val="001000000000"/>
            <w:tcW w:w="6961" w:type="dxa"/>
            <w:noWrap/>
            <w:hideMark/>
          </w:tcPr>
          <w:p w:rsidR="003462E2" w:rsidRPr="003462E2" w:rsidRDefault="003462E2" w:rsidP="003462E2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3462E2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X-Men Men’s Shampoo (Vietnam) </w:t>
            </w:r>
          </w:p>
        </w:tc>
        <w:tc>
          <w:tcPr>
            <w:tcW w:w="1240" w:type="dxa"/>
            <w:noWrap/>
            <w:hideMark/>
          </w:tcPr>
          <w:p w:rsidR="003462E2" w:rsidRPr="003462E2" w:rsidRDefault="003462E2" w:rsidP="003462E2">
            <w:pPr>
              <w:jc w:val="center"/>
              <w:cnfStyle w:val="000000000000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3462E2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38%</w:t>
            </w:r>
          </w:p>
        </w:tc>
        <w:tc>
          <w:tcPr>
            <w:tcW w:w="960" w:type="dxa"/>
            <w:noWrap/>
            <w:hideMark/>
          </w:tcPr>
          <w:p w:rsidR="003462E2" w:rsidRPr="003462E2" w:rsidRDefault="003462E2" w:rsidP="003462E2">
            <w:pPr>
              <w:jc w:val="center"/>
              <w:cnfStyle w:val="000000000000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3462E2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1st</w:t>
            </w:r>
          </w:p>
        </w:tc>
      </w:tr>
      <w:tr w:rsidR="003462E2" w:rsidRPr="003462E2" w:rsidTr="003462E2">
        <w:trPr>
          <w:cnfStyle w:val="000000100000"/>
          <w:trHeight w:val="300"/>
        </w:trPr>
        <w:tc>
          <w:tcPr>
            <w:cnfStyle w:val="001000000000"/>
            <w:tcW w:w="6961" w:type="dxa"/>
            <w:noWrap/>
            <w:hideMark/>
          </w:tcPr>
          <w:p w:rsidR="003462E2" w:rsidRPr="003462E2" w:rsidRDefault="003462E2" w:rsidP="003462E2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3462E2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Hair Code &amp; Fiancée Gels/Cream (Egypt) </w:t>
            </w:r>
          </w:p>
        </w:tc>
        <w:tc>
          <w:tcPr>
            <w:tcW w:w="1240" w:type="dxa"/>
            <w:noWrap/>
            <w:hideMark/>
          </w:tcPr>
          <w:p w:rsidR="003462E2" w:rsidRPr="003462E2" w:rsidRDefault="003462E2" w:rsidP="003462E2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3462E2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58%</w:t>
            </w:r>
          </w:p>
        </w:tc>
        <w:tc>
          <w:tcPr>
            <w:tcW w:w="960" w:type="dxa"/>
            <w:noWrap/>
            <w:hideMark/>
          </w:tcPr>
          <w:p w:rsidR="003462E2" w:rsidRPr="003462E2" w:rsidRDefault="003462E2" w:rsidP="003462E2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3462E2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1st</w:t>
            </w:r>
          </w:p>
        </w:tc>
      </w:tr>
      <w:tr w:rsidR="003462E2" w:rsidRPr="003462E2" w:rsidTr="003462E2">
        <w:trPr>
          <w:trHeight w:val="300"/>
        </w:trPr>
        <w:tc>
          <w:tcPr>
            <w:cnfStyle w:val="001000000000"/>
            <w:tcW w:w="6961" w:type="dxa"/>
            <w:noWrap/>
            <w:hideMark/>
          </w:tcPr>
          <w:p w:rsidR="003462E2" w:rsidRPr="003462E2" w:rsidRDefault="003462E2" w:rsidP="003462E2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3462E2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Hair Creams/Gels (India) (Set Wet and Parachute After shower)</w:t>
            </w:r>
          </w:p>
        </w:tc>
        <w:tc>
          <w:tcPr>
            <w:tcW w:w="1240" w:type="dxa"/>
            <w:noWrap/>
            <w:hideMark/>
          </w:tcPr>
          <w:p w:rsidR="003462E2" w:rsidRPr="003462E2" w:rsidRDefault="003462E2" w:rsidP="003462E2">
            <w:pPr>
              <w:jc w:val="center"/>
              <w:cnfStyle w:val="000000000000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3462E2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52%</w:t>
            </w:r>
          </w:p>
        </w:tc>
        <w:tc>
          <w:tcPr>
            <w:tcW w:w="960" w:type="dxa"/>
            <w:noWrap/>
            <w:hideMark/>
          </w:tcPr>
          <w:p w:rsidR="003462E2" w:rsidRPr="003462E2" w:rsidRDefault="003462E2" w:rsidP="003462E2">
            <w:pPr>
              <w:jc w:val="center"/>
              <w:cnfStyle w:val="000000000000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3462E2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1st</w:t>
            </w:r>
          </w:p>
        </w:tc>
      </w:tr>
      <w:tr w:rsidR="003462E2" w:rsidRPr="003462E2" w:rsidTr="003462E2">
        <w:trPr>
          <w:cnfStyle w:val="000000100000"/>
          <w:trHeight w:val="300"/>
        </w:trPr>
        <w:tc>
          <w:tcPr>
            <w:cnfStyle w:val="001000000000"/>
            <w:tcW w:w="6961" w:type="dxa"/>
            <w:noWrap/>
            <w:hideMark/>
          </w:tcPr>
          <w:p w:rsidR="003462E2" w:rsidRPr="003462E2" w:rsidRDefault="003462E2" w:rsidP="003462E2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proofErr w:type="spellStart"/>
            <w:r w:rsidRPr="003462E2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Saffola</w:t>
            </w:r>
            <w:proofErr w:type="spellEnd"/>
            <w:r w:rsidRPr="003462E2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 Oats (India)</w:t>
            </w:r>
          </w:p>
        </w:tc>
        <w:tc>
          <w:tcPr>
            <w:tcW w:w="1240" w:type="dxa"/>
            <w:noWrap/>
            <w:hideMark/>
          </w:tcPr>
          <w:p w:rsidR="003462E2" w:rsidRPr="003462E2" w:rsidRDefault="003462E2" w:rsidP="003462E2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3462E2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25%</w:t>
            </w:r>
          </w:p>
        </w:tc>
        <w:tc>
          <w:tcPr>
            <w:tcW w:w="960" w:type="dxa"/>
            <w:noWrap/>
            <w:hideMark/>
          </w:tcPr>
          <w:p w:rsidR="003462E2" w:rsidRPr="003462E2" w:rsidRDefault="003462E2" w:rsidP="003462E2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3462E2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2nd</w:t>
            </w:r>
          </w:p>
        </w:tc>
      </w:tr>
      <w:tr w:rsidR="003462E2" w:rsidRPr="003462E2" w:rsidTr="003462E2">
        <w:trPr>
          <w:trHeight w:val="300"/>
        </w:trPr>
        <w:tc>
          <w:tcPr>
            <w:cnfStyle w:val="001000000000"/>
            <w:tcW w:w="6961" w:type="dxa"/>
            <w:noWrap/>
            <w:hideMark/>
          </w:tcPr>
          <w:p w:rsidR="003462E2" w:rsidRPr="003462E2" w:rsidRDefault="003462E2" w:rsidP="003462E2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3462E2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Value Added Hair Oils (Bangladesh) </w:t>
            </w:r>
          </w:p>
        </w:tc>
        <w:tc>
          <w:tcPr>
            <w:tcW w:w="1240" w:type="dxa"/>
            <w:noWrap/>
            <w:hideMark/>
          </w:tcPr>
          <w:p w:rsidR="003462E2" w:rsidRPr="003462E2" w:rsidRDefault="003462E2" w:rsidP="003462E2">
            <w:pPr>
              <w:jc w:val="center"/>
              <w:cnfStyle w:val="000000000000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3462E2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15%</w:t>
            </w:r>
          </w:p>
        </w:tc>
        <w:tc>
          <w:tcPr>
            <w:tcW w:w="960" w:type="dxa"/>
            <w:noWrap/>
            <w:hideMark/>
          </w:tcPr>
          <w:p w:rsidR="003462E2" w:rsidRPr="003462E2" w:rsidRDefault="003462E2" w:rsidP="003462E2">
            <w:pPr>
              <w:jc w:val="center"/>
              <w:cnfStyle w:val="000000000000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3462E2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3rd</w:t>
            </w:r>
          </w:p>
        </w:tc>
      </w:tr>
      <w:tr w:rsidR="003462E2" w:rsidRPr="003462E2" w:rsidTr="003462E2">
        <w:trPr>
          <w:cnfStyle w:val="000000100000"/>
          <w:trHeight w:val="300"/>
        </w:trPr>
        <w:tc>
          <w:tcPr>
            <w:cnfStyle w:val="001000000000"/>
            <w:tcW w:w="6961" w:type="dxa"/>
            <w:noWrap/>
            <w:hideMark/>
          </w:tcPr>
          <w:p w:rsidR="003462E2" w:rsidRPr="003462E2" w:rsidRDefault="003462E2" w:rsidP="003462E2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3462E2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Deodorants (India) (Set Wet and </w:t>
            </w:r>
            <w:proofErr w:type="spellStart"/>
            <w:r w:rsidRPr="003462E2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Zatak</w:t>
            </w:r>
            <w:proofErr w:type="spellEnd"/>
            <w:r w:rsidRPr="003462E2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40" w:type="dxa"/>
            <w:noWrap/>
            <w:hideMark/>
          </w:tcPr>
          <w:p w:rsidR="003462E2" w:rsidRPr="003462E2" w:rsidRDefault="003462E2" w:rsidP="003462E2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3462E2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3%</w:t>
            </w:r>
          </w:p>
        </w:tc>
        <w:tc>
          <w:tcPr>
            <w:tcW w:w="960" w:type="dxa"/>
            <w:noWrap/>
            <w:hideMark/>
          </w:tcPr>
          <w:p w:rsidR="003462E2" w:rsidRPr="003462E2" w:rsidRDefault="003462E2" w:rsidP="003462E2">
            <w:pPr>
              <w:jc w:val="center"/>
              <w:cnfStyle w:val="000000100000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3462E2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7th</w:t>
            </w:r>
          </w:p>
        </w:tc>
      </w:tr>
      <w:tr w:rsidR="003462E2" w:rsidRPr="003462E2" w:rsidTr="003462E2">
        <w:trPr>
          <w:trHeight w:val="300"/>
        </w:trPr>
        <w:tc>
          <w:tcPr>
            <w:cnfStyle w:val="001000000000"/>
            <w:tcW w:w="6961" w:type="dxa"/>
            <w:noWrap/>
            <w:hideMark/>
          </w:tcPr>
          <w:p w:rsidR="003462E2" w:rsidRPr="003462E2" w:rsidRDefault="003462E2" w:rsidP="003462E2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3462E2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Parachute </w:t>
            </w:r>
            <w:proofErr w:type="spellStart"/>
            <w:r w:rsidRPr="003462E2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Advansed</w:t>
            </w:r>
            <w:proofErr w:type="spellEnd"/>
            <w:r w:rsidRPr="003462E2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 Body Lotion (India) </w:t>
            </w:r>
          </w:p>
        </w:tc>
        <w:tc>
          <w:tcPr>
            <w:tcW w:w="1240" w:type="dxa"/>
            <w:noWrap/>
            <w:hideMark/>
          </w:tcPr>
          <w:p w:rsidR="003462E2" w:rsidRPr="003462E2" w:rsidRDefault="003462E2" w:rsidP="003462E2">
            <w:pPr>
              <w:jc w:val="center"/>
              <w:cnfStyle w:val="000000000000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3462E2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6%</w:t>
            </w:r>
          </w:p>
        </w:tc>
        <w:tc>
          <w:tcPr>
            <w:tcW w:w="960" w:type="dxa"/>
            <w:noWrap/>
            <w:hideMark/>
          </w:tcPr>
          <w:p w:rsidR="003462E2" w:rsidRPr="003462E2" w:rsidRDefault="003462E2" w:rsidP="003462E2">
            <w:pPr>
              <w:jc w:val="center"/>
              <w:cnfStyle w:val="000000000000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3462E2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5th</w:t>
            </w:r>
          </w:p>
        </w:tc>
      </w:tr>
    </w:tbl>
    <w:p w:rsidR="00271EE5" w:rsidRPr="00271EE5" w:rsidRDefault="00271EE5" w:rsidP="00271EE5">
      <w:pPr>
        <w:pStyle w:val="NoSpacing"/>
        <w:rPr>
          <w:rFonts w:asciiTheme="majorHAnsi" w:hAnsiTheme="majorHAnsi"/>
          <w:sz w:val="16"/>
          <w:szCs w:val="16"/>
        </w:rPr>
      </w:pPr>
      <w:r w:rsidRPr="00271EE5">
        <w:rPr>
          <w:rFonts w:asciiTheme="majorHAnsi" w:hAnsiTheme="majorHAnsi"/>
          <w:sz w:val="16"/>
          <w:szCs w:val="16"/>
        </w:rPr>
        <w:t>Source: Company</w:t>
      </w:r>
    </w:p>
    <w:p w:rsidR="00A00256" w:rsidRDefault="00A00256" w:rsidP="006367A3">
      <w:pPr>
        <w:pStyle w:val="NoSpacing"/>
        <w:rPr>
          <w:rFonts w:asciiTheme="majorHAnsi" w:hAnsiTheme="majorHAnsi"/>
          <w:b/>
        </w:rPr>
      </w:pPr>
    </w:p>
    <w:p w:rsidR="00A00256" w:rsidRPr="00A00256" w:rsidRDefault="00A00256" w:rsidP="006367A3">
      <w:pPr>
        <w:pStyle w:val="NoSpacing"/>
        <w:rPr>
          <w:rFonts w:asciiTheme="majorHAnsi" w:hAnsiTheme="majorHAnsi"/>
          <w:b/>
        </w:rPr>
      </w:pPr>
      <w:r w:rsidRPr="00A00256">
        <w:rPr>
          <w:rFonts w:asciiTheme="majorHAnsi" w:hAnsiTheme="majorHAnsi"/>
          <w:b/>
        </w:rPr>
        <w:t>Awards:</w:t>
      </w:r>
    </w:p>
    <w:p w:rsidR="00A00256" w:rsidRPr="00A00256" w:rsidRDefault="00A00256" w:rsidP="00A00256">
      <w:pPr>
        <w:pStyle w:val="NoSpacing"/>
        <w:numPr>
          <w:ilvl w:val="0"/>
          <w:numId w:val="4"/>
        </w:numPr>
        <w:ind w:left="180" w:hanging="180"/>
        <w:rPr>
          <w:rFonts w:asciiTheme="majorHAnsi" w:hAnsiTheme="majorHAnsi"/>
        </w:rPr>
      </w:pPr>
      <w:r w:rsidRPr="00A00256">
        <w:rPr>
          <w:rFonts w:asciiTheme="majorHAnsi" w:hAnsiTheme="majorHAnsi"/>
        </w:rPr>
        <w:t xml:space="preserve">Marico won the “Best Domestic Company for Corporate Governance” across sectors in a poll conducted by </w:t>
      </w:r>
      <w:proofErr w:type="spellStart"/>
      <w:r w:rsidRPr="00A00256">
        <w:rPr>
          <w:rFonts w:asciiTheme="majorHAnsi" w:hAnsiTheme="majorHAnsi"/>
        </w:rPr>
        <w:t>Asiamoney</w:t>
      </w:r>
      <w:proofErr w:type="spellEnd"/>
      <w:r w:rsidRPr="00A00256">
        <w:rPr>
          <w:rFonts w:asciiTheme="majorHAnsi" w:hAnsiTheme="majorHAnsi"/>
        </w:rPr>
        <w:t>.</w:t>
      </w:r>
    </w:p>
    <w:p w:rsidR="00A00256" w:rsidRPr="00A00256" w:rsidRDefault="00A00256" w:rsidP="00A00256">
      <w:pPr>
        <w:pStyle w:val="NoSpacing"/>
        <w:numPr>
          <w:ilvl w:val="0"/>
          <w:numId w:val="4"/>
        </w:numPr>
        <w:ind w:left="180" w:hanging="180"/>
        <w:rPr>
          <w:rFonts w:asciiTheme="majorHAnsi" w:hAnsiTheme="majorHAnsi"/>
        </w:rPr>
      </w:pPr>
      <w:proofErr w:type="spellStart"/>
      <w:r w:rsidRPr="00A00256">
        <w:rPr>
          <w:rFonts w:asciiTheme="majorHAnsi" w:hAnsiTheme="majorHAnsi"/>
        </w:rPr>
        <w:t>Saffolife</w:t>
      </w:r>
      <w:proofErr w:type="spellEnd"/>
      <w:r w:rsidRPr="00A00256">
        <w:rPr>
          <w:rFonts w:asciiTheme="majorHAnsi" w:hAnsiTheme="majorHAnsi"/>
        </w:rPr>
        <w:t xml:space="preserve"> #</w:t>
      </w:r>
      <w:proofErr w:type="spellStart"/>
      <w:r w:rsidRPr="00A00256">
        <w:rPr>
          <w:rFonts w:asciiTheme="majorHAnsi" w:hAnsiTheme="majorHAnsi"/>
        </w:rPr>
        <w:t>ProtectHerHeart</w:t>
      </w:r>
      <w:proofErr w:type="spellEnd"/>
      <w:r w:rsidRPr="00A00256">
        <w:rPr>
          <w:rFonts w:asciiTheme="majorHAnsi" w:hAnsiTheme="majorHAnsi"/>
        </w:rPr>
        <w:t xml:space="preserve"> won Gold at the India PR &amp; Corporate Communications Awards.</w:t>
      </w:r>
    </w:p>
    <w:p w:rsidR="00A00256" w:rsidRPr="00A00256" w:rsidRDefault="00A00256" w:rsidP="00A00256">
      <w:pPr>
        <w:pStyle w:val="NoSpacing"/>
        <w:numPr>
          <w:ilvl w:val="0"/>
          <w:numId w:val="4"/>
        </w:numPr>
        <w:ind w:left="180" w:hanging="180"/>
        <w:rPr>
          <w:rFonts w:asciiTheme="majorHAnsi" w:hAnsiTheme="majorHAnsi"/>
          <w:b/>
        </w:rPr>
      </w:pPr>
      <w:proofErr w:type="spellStart"/>
      <w:r w:rsidRPr="00A00256">
        <w:rPr>
          <w:rFonts w:asciiTheme="majorHAnsi" w:hAnsiTheme="majorHAnsi"/>
        </w:rPr>
        <w:t>Saffolife</w:t>
      </w:r>
      <w:proofErr w:type="spellEnd"/>
      <w:r w:rsidRPr="00A00256">
        <w:rPr>
          <w:rFonts w:asciiTheme="majorHAnsi" w:hAnsiTheme="majorHAnsi"/>
        </w:rPr>
        <w:t xml:space="preserve"> #</w:t>
      </w:r>
      <w:proofErr w:type="spellStart"/>
      <w:r w:rsidRPr="00A00256">
        <w:rPr>
          <w:rFonts w:asciiTheme="majorHAnsi" w:hAnsiTheme="majorHAnsi"/>
        </w:rPr>
        <w:t>ProtectHerHeart</w:t>
      </w:r>
      <w:proofErr w:type="spellEnd"/>
      <w:r w:rsidRPr="00A00256">
        <w:rPr>
          <w:rFonts w:asciiTheme="majorHAnsi" w:hAnsiTheme="majorHAnsi"/>
        </w:rPr>
        <w:t xml:space="preserve"> won Gold at the India PR &amp; Corporate Communications Awards.</w:t>
      </w:r>
    </w:p>
    <w:p w:rsidR="00A00256" w:rsidRDefault="00A00256" w:rsidP="006367A3">
      <w:pPr>
        <w:pStyle w:val="NoSpacing"/>
        <w:rPr>
          <w:rFonts w:asciiTheme="majorHAnsi" w:hAnsiTheme="majorHAnsi"/>
          <w:b/>
        </w:rPr>
      </w:pPr>
    </w:p>
    <w:p w:rsidR="00A00256" w:rsidRPr="00DF35D7" w:rsidRDefault="00A00256" w:rsidP="006367A3">
      <w:pPr>
        <w:pStyle w:val="NoSpacing"/>
        <w:rPr>
          <w:rFonts w:asciiTheme="majorHAnsi" w:hAnsiTheme="majorHAnsi"/>
          <w:b/>
          <w:i/>
        </w:rPr>
      </w:pPr>
      <w:r w:rsidRPr="00DF35D7">
        <w:rPr>
          <w:rFonts w:asciiTheme="majorHAnsi" w:hAnsiTheme="majorHAnsi"/>
          <w:b/>
          <w:i/>
        </w:rPr>
        <w:t>Company’s future outlook:</w:t>
      </w:r>
    </w:p>
    <w:p w:rsidR="00A00256" w:rsidRPr="00DF35D7" w:rsidRDefault="00DF35D7" w:rsidP="00DF35D7">
      <w:pPr>
        <w:pStyle w:val="NoSpacing"/>
        <w:numPr>
          <w:ilvl w:val="0"/>
          <w:numId w:val="4"/>
        </w:numPr>
        <w:ind w:left="180" w:hanging="180"/>
        <w:rPr>
          <w:rFonts w:asciiTheme="majorHAnsi" w:hAnsiTheme="majorHAnsi"/>
          <w:b/>
        </w:rPr>
      </w:pPr>
      <w:r w:rsidRPr="00DF35D7">
        <w:rPr>
          <w:rFonts w:asciiTheme="majorHAnsi" w:hAnsiTheme="majorHAnsi"/>
        </w:rPr>
        <w:t>In the medium term, the company aims to grow this franchise at a volume growth rate of 12-15%.</w:t>
      </w:r>
    </w:p>
    <w:p w:rsidR="00DF35D7" w:rsidRPr="00DF35D7" w:rsidRDefault="00DF35D7" w:rsidP="00DF35D7">
      <w:pPr>
        <w:pStyle w:val="NoSpacing"/>
        <w:numPr>
          <w:ilvl w:val="0"/>
          <w:numId w:val="4"/>
        </w:numPr>
        <w:ind w:left="180" w:hanging="180"/>
        <w:rPr>
          <w:rFonts w:asciiTheme="majorHAnsi" w:hAnsiTheme="majorHAnsi"/>
          <w:b/>
        </w:rPr>
      </w:pPr>
      <w:r w:rsidRPr="00DF35D7">
        <w:rPr>
          <w:rFonts w:asciiTheme="majorHAnsi" w:hAnsiTheme="majorHAnsi"/>
        </w:rPr>
        <w:t xml:space="preserve">In the medium term, the company aims to grow its international business at an organic top line growth of ~ 15%. </w:t>
      </w:r>
    </w:p>
    <w:p w:rsidR="00A00256" w:rsidRDefault="00A00256" w:rsidP="006367A3">
      <w:pPr>
        <w:pStyle w:val="NoSpacing"/>
        <w:rPr>
          <w:rFonts w:asciiTheme="majorHAnsi" w:hAnsiTheme="majorHAnsi"/>
          <w:b/>
        </w:rPr>
      </w:pPr>
    </w:p>
    <w:p w:rsidR="006367A3" w:rsidRPr="00EF411C" w:rsidRDefault="006367A3" w:rsidP="006367A3">
      <w:pPr>
        <w:pStyle w:val="NoSpacing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Conclusion</w:t>
      </w:r>
    </w:p>
    <w:p w:rsidR="006367A3" w:rsidRDefault="006367A3" w:rsidP="006367A3">
      <w:pPr>
        <w:pStyle w:val="NoSpacing"/>
        <w:rPr>
          <w:rFonts w:asciiTheme="majorHAnsi" w:hAnsiTheme="majorHAnsi"/>
        </w:rPr>
      </w:pPr>
      <w:r w:rsidRPr="00EE3123">
        <w:rPr>
          <w:rFonts w:asciiTheme="majorHAnsi" w:hAnsiTheme="majorHAnsi"/>
        </w:rPr>
        <w:t>Marico</w:t>
      </w:r>
      <w:r>
        <w:rPr>
          <w:rFonts w:asciiTheme="majorHAnsi" w:hAnsiTheme="majorHAnsi"/>
        </w:rPr>
        <w:t xml:space="preserve">’s growth </w:t>
      </w:r>
      <w:r w:rsidR="00DF35D7">
        <w:rPr>
          <w:rFonts w:asciiTheme="majorHAnsi" w:hAnsiTheme="majorHAnsi"/>
        </w:rPr>
        <w:t>story</w:t>
      </w:r>
      <w:r>
        <w:rPr>
          <w:rFonts w:asciiTheme="majorHAnsi" w:hAnsiTheme="majorHAnsi"/>
        </w:rPr>
        <w:t xml:space="preserve"> and its growing market share in India make it a unique candidate for long term holding. </w:t>
      </w:r>
    </w:p>
    <w:p w:rsidR="006367A3" w:rsidRDefault="006367A3" w:rsidP="007B5D79">
      <w:pPr>
        <w:pStyle w:val="NoSpacing"/>
        <w:pBdr>
          <w:bottom w:val="single" w:sz="6" w:space="1" w:color="auto"/>
        </w:pBdr>
        <w:rPr>
          <w:rFonts w:asciiTheme="majorHAnsi" w:hAnsiTheme="majorHAnsi"/>
        </w:rPr>
      </w:pPr>
    </w:p>
    <w:p w:rsidR="00E00BBF" w:rsidRPr="00E00BBF" w:rsidRDefault="00E00BBF" w:rsidP="007B5D79">
      <w:pPr>
        <w:pStyle w:val="NoSpacing"/>
        <w:rPr>
          <w:rFonts w:asciiTheme="majorHAnsi" w:hAnsiTheme="majorHAnsi"/>
          <w:b/>
        </w:rPr>
      </w:pPr>
      <w:r w:rsidRPr="00E00BBF">
        <w:rPr>
          <w:rFonts w:asciiTheme="majorHAnsi" w:hAnsiTheme="majorHAnsi"/>
          <w:b/>
        </w:rPr>
        <w:t>Exhibits:</w:t>
      </w:r>
    </w:p>
    <w:p w:rsidR="00E00BBF" w:rsidRPr="00174785" w:rsidRDefault="00E00BBF" w:rsidP="00E00BBF">
      <w:pPr>
        <w:pStyle w:val="NoSpacing"/>
        <w:rPr>
          <w:rFonts w:asciiTheme="majorHAnsi" w:hAnsiTheme="majorHAnsi"/>
          <w:i/>
        </w:rPr>
      </w:pPr>
      <w:r w:rsidRPr="00174785">
        <w:rPr>
          <w:rFonts w:asciiTheme="majorHAnsi" w:hAnsiTheme="majorHAnsi"/>
          <w:i/>
        </w:rPr>
        <w:t>Financials</w:t>
      </w:r>
    </w:p>
    <w:tbl>
      <w:tblPr>
        <w:tblStyle w:val="LightList-Accent11"/>
        <w:tblW w:w="8620" w:type="dxa"/>
        <w:tblInd w:w="108" w:type="dxa"/>
        <w:tblLook w:val="04A0"/>
      </w:tblPr>
      <w:tblGrid>
        <w:gridCol w:w="3540"/>
        <w:gridCol w:w="1240"/>
        <w:gridCol w:w="960"/>
        <w:gridCol w:w="960"/>
        <w:gridCol w:w="960"/>
        <w:gridCol w:w="960"/>
      </w:tblGrid>
      <w:tr w:rsidR="00E00BBF" w:rsidRPr="00174785" w:rsidTr="00F44563">
        <w:trPr>
          <w:cnfStyle w:val="100000000000"/>
          <w:trHeight w:val="300"/>
        </w:trPr>
        <w:tc>
          <w:tcPr>
            <w:cnfStyle w:val="001000000000"/>
            <w:tcW w:w="3540" w:type="dxa"/>
            <w:noWrap/>
            <w:hideMark/>
          </w:tcPr>
          <w:p w:rsidR="00E00BBF" w:rsidRPr="00174785" w:rsidRDefault="00E00BBF" w:rsidP="00F44563">
            <w:pPr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174785">
              <w:rPr>
                <w:rFonts w:asciiTheme="majorHAnsi" w:eastAsia="Times New Roman" w:hAnsiTheme="majorHAnsi" w:cs="Calibri"/>
                <w:sz w:val="18"/>
                <w:szCs w:val="18"/>
              </w:rPr>
              <w:t>(In Rs. Cr.)</w:t>
            </w:r>
          </w:p>
        </w:tc>
        <w:tc>
          <w:tcPr>
            <w:tcW w:w="1240" w:type="dxa"/>
            <w:noWrap/>
            <w:hideMark/>
          </w:tcPr>
          <w:p w:rsidR="00E00BBF" w:rsidRPr="00174785" w:rsidRDefault="00E00BBF" w:rsidP="00F44563">
            <w:pPr>
              <w:jc w:val="right"/>
              <w:cnfStyle w:val="100000000000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174785">
              <w:rPr>
                <w:rFonts w:asciiTheme="majorHAnsi" w:eastAsia="Times New Roman" w:hAnsiTheme="majorHAnsi" w:cs="Calibri"/>
                <w:sz w:val="18"/>
                <w:szCs w:val="18"/>
              </w:rPr>
              <w:t>2011</w:t>
            </w:r>
          </w:p>
        </w:tc>
        <w:tc>
          <w:tcPr>
            <w:tcW w:w="960" w:type="dxa"/>
            <w:noWrap/>
            <w:hideMark/>
          </w:tcPr>
          <w:p w:rsidR="00E00BBF" w:rsidRPr="00174785" w:rsidRDefault="00E00BBF" w:rsidP="00F44563">
            <w:pPr>
              <w:jc w:val="right"/>
              <w:cnfStyle w:val="100000000000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174785">
              <w:rPr>
                <w:rFonts w:asciiTheme="majorHAnsi" w:eastAsia="Times New Roman" w:hAnsiTheme="majorHAnsi" w:cs="Calibri"/>
                <w:sz w:val="18"/>
                <w:szCs w:val="18"/>
              </w:rPr>
              <w:t>2012</w:t>
            </w:r>
          </w:p>
        </w:tc>
        <w:tc>
          <w:tcPr>
            <w:tcW w:w="960" w:type="dxa"/>
            <w:noWrap/>
            <w:hideMark/>
          </w:tcPr>
          <w:p w:rsidR="00E00BBF" w:rsidRPr="00174785" w:rsidRDefault="00E00BBF" w:rsidP="00F44563">
            <w:pPr>
              <w:jc w:val="right"/>
              <w:cnfStyle w:val="100000000000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174785">
              <w:rPr>
                <w:rFonts w:asciiTheme="majorHAnsi" w:eastAsia="Times New Roman" w:hAnsiTheme="majorHAnsi" w:cs="Calibri"/>
                <w:sz w:val="18"/>
                <w:szCs w:val="18"/>
              </w:rPr>
              <w:t>2013</w:t>
            </w:r>
          </w:p>
        </w:tc>
        <w:tc>
          <w:tcPr>
            <w:tcW w:w="960" w:type="dxa"/>
            <w:noWrap/>
            <w:hideMark/>
          </w:tcPr>
          <w:p w:rsidR="00E00BBF" w:rsidRPr="00174785" w:rsidRDefault="00E00BBF" w:rsidP="00F44563">
            <w:pPr>
              <w:jc w:val="right"/>
              <w:cnfStyle w:val="100000000000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174785">
              <w:rPr>
                <w:rFonts w:asciiTheme="majorHAnsi" w:eastAsia="Times New Roman" w:hAnsiTheme="majorHAnsi" w:cs="Calibri"/>
                <w:sz w:val="18"/>
                <w:szCs w:val="18"/>
              </w:rPr>
              <w:t>2014</w:t>
            </w:r>
          </w:p>
        </w:tc>
        <w:tc>
          <w:tcPr>
            <w:tcW w:w="960" w:type="dxa"/>
            <w:noWrap/>
            <w:hideMark/>
          </w:tcPr>
          <w:p w:rsidR="00E00BBF" w:rsidRPr="00174785" w:rsidRDefault="00E00BBF" w:rsidP="00F44563">
            <w:pPr>
              <w:jc w:val="right"/>
              <w:cnfStyle w:val="100000000000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174785">
              <w:rPr>
                <w:rFonts w:asciiTheme="majorHAnsi" w:eastAsia="Times New Roman" w:hAnsiTheme="majorHAnsi" w:cs="Calibri"/>
                <w:sz w:val="18"/>
                <w:szCs w:val="18"/>
              </w:rPr>
              <w:t>2015</w:t>
            </w:r>
          </w:p>
        </w:tc>
      </w:tr>
      <w:tr w:rsidR="00E00BBF" w:rsidRPr="00174785" w:rsidTr="00F44563">
        <w:trPr>
          <w:cnfStyle w:val="000000100000"/>
          <w:trHeight w:val="300"/>
        </w:trPr>
        <w:tc>
          <w:tcPr>
            <w:cnfStyle w:val="001000000000"/>
            <w:tcW w:w="3540" w:type="dxa"/>
            <w:noWrap/>
            <w:hideMark/>
          </w:tcPr>
          <w:p w:rsidR="00E00BBF" w:rsidRPr="00174785" w:rsidRDefault="00E00BBF" w:rsidP="00F44563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174785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Income from Operations</w:t>
            </w:r>
          </w:p>
        </w:tc>
        <w:tc>
          <w:tcPr>
            <w:tcW w:w="1240" w:type="dxa"/>
            <w:noWrap/>
            <w:hideMark/>
          </w:tcPr>
          <w:p w:rsidR="00E00BBF" w:rsidRPr="00174785" w:rsidRDefault="00E00BBF" w:rsidP="00F44563">
            <w:pPr>
              <w:jc w:val="right"/>
              <w:cnfStyle w:val="000000100000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174785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3,135 </w:t>
            </w:r>
          </w:p>
        </w:tc>
        <w:tc>
          <w:tcPr>
            <w:tcW w:w="960" w:type="dxa"/>
            <w:noWrap/>
            <w:hideMark/>
          </w:tcPr>
          <w:p w:rsidR="00E00BBF" w:rsidRPr="00174785" w:rsidRDefault="00E00BBF" w:rsidP="00F44563">
            <w:pPr>
              <w:jc w:val="right"/>
              <w:cnfStyle w:val="000000100000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174785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3,979 </w:t>
            </w:r>
          </w:p>
        </w:tc>
        <w:tc>
          <w:tcPr>
            <w:tcW w:w="960" w:type="dxa"/>
            <w:noWrap/>
            <w:hideMark/>
          </w:tcPr>
          <w:p w:rsidR="00E00BBF" w:rsidRPr="00174785" w:rsidRDefault="00E00BBF" w:rsidP="00F44563">
            <w:pPr>
              <w:jc w:val="right"/>
              <w:cnfStyle w:val="000000100000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174785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4,596 </w:t>
            </w:r>
          </w:p>
        </w:tc>
        <w:tc>
          <w:tcPr>
            <w:tcW w:w="960" w:type="dxa"/>
            <w:noWrap/>
            <w:hideMark/>
          </w:tcPr>
          <w:p w:rsidR="00E00BBF" w:rsidRPr="00174785" w:rsidRDefault="00E00BBF" w:rsidP="00F44563">
            <w:pPr>
              <w:jc w:val="right"/>
              <w:cnfStyle w:val="000000100000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174785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4,686 </w:t>
            </w:r>
          </w:p>
        </w:tc>
        <w:tc>
          <w:tcPr>
            <w:tcW w:w="960" w:type="dxa"/>
            <w:noWrap/>
            <w:hideMark/>
          </w:tcPr>
          <w:p w:rsidR="00E00BBF" w:rsidRPr="00174785" w:rsidRDefault="00E00BBF" w:rsidP="00F44563">
            <w:pPr>
              <w:jc w:val="right"/>
              <w:cnfStyle w:val="000000100000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174785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5,733 </w:t>
            </w:r>
          </w:p>
        </w:tc>
      </w:tr>
      <w:tr w:rsidR="00E00BBF" w:rsidRPr="00174785" w:rsidTr="00F44563">
        <w:trPr>
          <w:trHeight w:val="300"/>
        </w:trPr>
        <w:tc>
          <w:tcPr>
            <w:cnfStyle w:val="001000000000"/>
            <w:tcW w:w="3540" w:type="dxa"/>
            <w:noWrap/>
            <w:hideMark/>
          </w:tcPr>
          <w:p w:rsidR="00E00BBF" w:rsidRPr="00174785" w:rsidRDefault="00E00BBF" w:rsidP="00F44563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174785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EBITDA</w:t>
            </w:r>
          </w:p>
        </w:tc>
        <w:tc>
          <w:tcPr>
            <w:tcW w:w="1240" w:type="dxa"/>
            <w:noWrap/>
            <w:hideMark/>
          </w:tcPr>
          <w:p w:rsidR="00E00BBF" w:rsidRPr="00174785" w:rsidRDefault="00E00BBF" w:rsidP="00F44563">
            <w:pPr>
              <w:jc w:val="right"/>
              <w:cnfStyle w:val="000000000000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174785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418 </w:t>
            </w:r>
          </w:p>
        </w:tc>
        <w:tc>
          <w:tcPr>
            <w:tcW w:w="960" w:type="dxa"/>
            <w:noWrap/>
            <w:hideMark/>
          </w:tcPr>
          <w:p w:rsidR="00E00BBF" w:rsidRPr="00174785" w:rsidRDefault="00E00BBF" w:rsidP="00F44563">
            <w:pPr>
              <w:jc w:val="right"/>
              <w:cnfStyle w:val="000000000000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174785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484 </w:t>
            </w:r>
          </w:p>
        </w:tc>
        <w:tc>
          <w:tcPr>
            <w:tcW w:w="960" w:type="dxa"/>
            <w:noWrap/>
            <w:hideMark/>
          </w:tcPr>
          <w:p w:rsidR="00E00BBF" w:rsidRPr="00174785" w:rsidRDefault="00E00BBF" w:rsidP="00F44563">
            <w:pPr>
              <w:jc w:val="right"/>
              <w:cnfStyle w:val="000000000000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174785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625 </w:t>
            </w:r>
          </w:p>
        </w:tc>
        <w:tc>
          <w:tcPr>
            <w:tcW w:w="960" w:type="dxa"/>
            <w:noWrap/>
            <w:hideMark/>
          </w:tcPr>
          <w:p w:rsidR="00E00BBF" w:rsidRPr="00174785" w:rsidRDefault="00E00BBF" w:rsidP="00F44563">
            <w:pPr>
              <w:jc w:val="right"/>
              <w:cnfStyle w:val="000000000000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174785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748 </w:t>
            </w:r>
          </w:p>
        </w:tc>
        <w:tc>
          <w:tcPr>
            <w:tcW w:w="960" w:type="dxa"/>
            <w:noWrap/>
            <w:hideMark/>
          </w:tcPr>
          <w:p w:rsidR="00E00BBF" w:rsidRPr="00174785" w:rsidRDefault="00E00BBF" w:rsidP="00F44563">
            <w:pPr>
              <w:jc w:val="right"/>
              <w:cnfStyle w:val="000000000000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174785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870 </w:t>
            </w:r>
          </w:p>
        </w:tc>
      </w:tr>
      <w:tr w:rsidR="00E00BBF" w:rsidRPr="00174785" w:rsidTr="00F44563">
        <w:trPr>
          <w:cnfStyle w:val="000000100000"/>
          <w:trHeight w:val="300"/>
        </w:trPr>
        <w:tc>
          <w:tcPr>
            <w:cnfStyle w:val="001000000000"/>
            <w:tcW w:w="3540" w:type="dxa"/>
            <w:noWrap/>
            <w:hideMark/>
          </w:tcPr>
          <w:p w:rsidR="00E00BBF" w:rsidRPr="00174785" w:rsidRDefault="00E00BBF" w:rsidP="00F44563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174785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PAT</w:t>
            </w:r>
          </w:p>
        </w:tc>
        <w:tc>
          <w:tcPr>
            <w:tcW w:w="1240" w:type="dxa"/>
            <w:noWrap/>
            <w:hideMark/>
          </w:tcPr>
          <w:p w:rsidR="00E00BBF" w:rsidRPr="00174785" w:rsidRDefault="00E00BBF" w:rsidP="00F44563">
            <w:pPr>
              <w:jc w:val="right"/>
              <w:cnfStyle w:val="000000100000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174785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286 </w:t>
            </w:r>
          </w:p>
        </w:tc>
        <w:tc>
          <w:tcPr>
            <w:tcW w:w="960" w:type="dxa"/>
            <w:noWrap/>
            <w:hideMark/>
          </w:tcPr>
          <w:p w:rsidR="00E00BBF" w:rsidRPr="00174785" w:rsidRDefault="00E00BBF" w:rsidP="00F44563">
            <w:pPr>
              <w:jc w:val="right"/>
              <w:cnfStyle w:val="000000100000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174785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317 </w:t>
            </w:r>
          </w:p>
        </w:tc>
        <w:tc>
          <w:tcPr>
            <w:tcW w:w="960" w:type="dxa"/>
            <w:noWrap/>
            <w:hideMark/>
          </w:tcPr>
          <w:p w:rsidR="00E00BBF" w:rsidRPr="00174785" w:rsidRDefault="00E00BBF" w:rsidP="00F44563">
            <w:pPr>
              <w:jc w:val="right"/>
              <w:cnfStyle w:val="000000100000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174785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395 </w:t>
            </w:r>
          </w:p>
        </w:tc>
        <w:tc>
          <w:tcPr>
            <w:tcW w:w="960" w:type="dxa"/>
            <w:noWrap/>
            <w:hideMark/>
          </w:tcPr>
          <w:p w:rsidR="00E00BBF" w:rsidRPr="00174785" w:rsidRDefault="00E00BBF" w:rsidP="00F44563">
            <w:pPr>
              <w:jc w:val="right"/>
              <w:cnfStyle w:val="000000100000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174785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485 </w:t>
            </w:r>
          </w:p>
        </w:tc>
        <w:tc>
          <w:tcPr>
            <w:tcW w:w="960" w:type="dxa"/>
            <w:noWrap/>
            <w:hideMark/>
          </w:tcPr>
          <w:p w:rsidR="00E00BBF" w:rsidRPr="00174785" w:rsidRDefault="00E00BBF" w:rsidP="00F44563">
            <w:pPr>
              <w:jc w:val="right"/>
              <w:cnfStyle w:val="000000100000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174785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 xml:space="preserve">573 </w:t>
            </w:r>
          </w:p>
        </w:tc>
      </w:tr>
      <w:tr w:rsidR="00E00BBF" w:rsidRPr="00174785" w:rsidTr="00F44563">
        <w:trPr>
          <w:trHeight w:val="300"/>
        </w:trPr>
        <w:tc>
          <w:tcPr>
            <w:cnfStyle w:val="001000000000"/>
            <w:tcW w:w="3540" w:type="dxa"/>
            <w:noWrap/>
            <w:hideMark/>
          </w:tcPr>
          <w:p w:rsidR="00E00BBF" w:rsidRPr="00174785" w:rsidRDefault="00E00BBF" w:rsidP="00F44563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174785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EPS</w:t>
            </w:r>
          </w:p>
        </w:tc>
        <w:tc>
          <w:tcPr>
            <w:tcW w:w="1240" w:type="dxa"/>
            <w:noWrap/>
            <w:hideMark/>
          </w:tcPr>
          <w:p w:rsidR="00E00BBF" w:rsidRPr="00174785" w:rsidRDefault="00E00BBF" w:rsidP="00F44563">
            <w:pPr>
              <w:jc w:val="right"/>
              <w:cnfStyle w:val="000000000000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174785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960" w:type="dxa"/>
            <w:noWrap/>
            <w:hideMark/>
          </w:tcPr>
          <w:p w:rsidR="00E00BBF" w:rsidRPr="00174785" w:rsidRDefault="00E00BBF" w:rsidP="00F44563">
            <w:pPr>
              <w:jc w:val="right"/>
              <w:cnfStyle w:val="000000000000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174785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960" w:type="dxa"/>
            <w:noWrap/>
            <w:hideMark/>
          </w:tcPr>
          <w:p w:rsidR="00E00BBF" w:rsidRPr="00174785" w:rsidRDefault="00E00BBF" w:rsidP="00F44563">
            <w:pPr>
              <w:jc w:val="right"/>
              <w:cnfStyle w:val="000000000000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174785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960" w:type="dxa"/>
            <w:noWrap/>
            <w:hideMark/>
          </w:tcPr>
          <w:p w:rsidR="00E00BBF" w:rsidRPr="00174785" w:rsidRDefault="00E00BBF" w:rsidP="00F44563">
            <w:pPr>
              <w:jc w:val="right"/>
              <w:cnfStyle w:val="000000000000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174785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960" w:type="dxa"/>
            <w:noWrap/>
            <w:hideMark/>
          </w:tcPr>
          <w:p w:rsidR="00E00BBF" w:rsidRPr="00174785" w:rsidRDefault="00E00BBF" w:rsidP="00F44563">
            <w:pPr>
              <w:jc w:val="right"/>
              <w:cnfStyle w:val="000000000000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174785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8.9</w:t>
            </w:r>
          </w:p>
        </w:tc>
      </w:tr>
    </w:tbl>
    <w:p w:rsidR="00271EE5" w:rsidRPr="00271EE5" w:rsidRDefault="00271EE5" w:rsidP="00271EE5">
      <w:pPr>
        <w:pStyle w:val="NoSpacing"/>
        <w:rPr>
          <w:rFonts w:asciiTheme="majorHAnsi" w:hAnsiTheme="majorHAnsi"/>
          <w:sz w:val="16"/>
          <w:szCs w:val="16"/>
        </w:rPr>
      </w:pPr>
      <w:r w:rsidRPr="00271EE5">
        <w:rPr>
          <w:rFonts w:asciiTheme="majorHAnsi" w:hAnsiTheme="majorHAnsi"/>
          <w:sz w:val="16"/>
          <w:szCs w:val="16"/>
        </w:rPr>
        <w:lastRenderedPageBreak/>
        <w:t>Source: Company</w:t>
      </w:r>
    </w:p>
    <w:p w:rsidR="00E00BBF" w:rsidRPr="00A00256" w:rsidRDefault="00E00BBF" w:rsidP="00E00BBF">
      <w:pPr>
        <w:pStyle w:val="NoSpacing"/>
        <w:rPr>
          <w:rFonts w:asciiTheme="majorHAnsi" w:hAnsiTheme="majorHAnsi"/>
        </w:rPr>
      </w:pPr>
      <w:r w:rsidRPr="00E00BBF">
        <w:rPr>
          <w:rFonts w:asciiTheme="majorHAnsi" w:hAnsiTheme="majorHAnsi"/>
          <w:i/>
        </w:rPr>
        <w:t>Key Ratios:</w:t>
      </w:r>
      <w:r w:rsidR="00CF41AB">
        <w:rPr>
          <w:rFonts w:asciiTheme="majorHAnsi" w:hAnsiTheme="majorHAnsi"/>
          <w:i/>
        </w:rPr>
        <w:t xml:space="preserve"> </w:t>
      </w:r>
      <w:r w:rsidRPr="00A00256">
        <w:rPr>
          <w:rFonts w:asciiTheme="majorHAnsi" w:hAnsiTheme="majorHAnsi"/>
        </w:rPr>
        <w:t xml:space="preserve">In Q3FY15, </w:t>
      </w:r>
      <w:r>
        <w:rPr>
          <w:rFonts w:asciiTheme="majorHAnsi" w:hAnsiTheme="majorHAnsi"/>
        </w:rPr>
        <w:t xml:space="preserve">the company’s </w:t>
      </w:r>
      <w:r w:rsidRPr="00113E15">
        <w:rPr>
          <w:rFonts w:asciiTheme="majorHAnsi" w:eastAsia="Times New Roman" w:hAnsiTheme="majorHAnsi" w:cs="Calibri"/>
          <w:color w:val="000000"/>
        </w:rPr>
        <w:t xml:space="preserve">Return on Net worth </w:t>
      </w:r>
      <w:r>
        <w:rPr>
          <w:rFonts w:asciiTheme="majorHAnsi" w:eastAsia="Times New Roman" w:hAnsiTheme="majorHAnsi" w:cs="Calibri"/>
          <w:color w:val="000000"/>
        </w:rPr>
        <w:t>was 34.9% and its debt to equity ratio value was 0.17.</w:t>
      </w:r>
    </w:p>
    <w:tbl>
      <w:tblPr>
        <w:tblStyle w:val="LightList-Accent11"/>
        <w:tblW w:w="8620" w:type="dxa"/>
        <w:tblInd w:w="108" w:type="dxa"/>
        <w:tblLook w:val="04A0"/>
      </w:tblPr>
      <w:tblGrid>
        <w:gridCol w:w="3540"/>
        <w:gridCol w:w="1240"/>
        <w:gridCol w:w="960"/>
        <w:gridCol w:w="960"/>
        <w:gridCol w:w="960"/>
        <w:gridCol w:w="960"/>
      </w:tblGrid>
      <w:tr w:rsidR="00E00BBF" w:rsidRPr="00113E15" w:rsidTr="00F44563">
        <w:trPr>
          <w:cnfStyle w:val="100000000000"/>
          <w:trHeight w:val="300"/>
        </w:trPr>
        <w:tc>
          <w:tcPr>
            <w:cnfStyle w:val="001000000000"/>
            <w:tcW w:w="3540" w:type="dxa"/>
            <w:noWrap/>
            <w:hideMark/>
          </w:tcPr>
          <w:p w:rsidR="00E00BBF" w:rsidRPr="00113E15" w:rsidRDefault="00E00BBF" w:rsidP="00F44563">
            <w:pPr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113E15">
              <w:rPr>
                <w:rFonts w:asciiTheme="majorHAnsi" w:eastAsia="Times New Roman" w:hAnsiTheme="majorHAnsi" w:cs="Calibri"/>
                <w:sz w:val="18"/>
                <w:szCs w:val="18"/>
              </w:rPr>
              <w:t>(In Rs. Cr.)</w:t>
            </w:r>
          </w:p>
        </w:tc>
        <w:tc>
          <w:tcPr>
            <w:tcW w:w="1240" w:type="dxa"/>
            <w:noWrap/>
            <w:hideMark/>
          </w:tcPr>
          <w:p w:rsidR="00E00BBF" w:rsidRPr="00113E15" w:rsidRDefault="00E00BBF" w:rsidP="00F44563">
            <w:pPr>
              <w:jc w:val="right"/>
              <w:cnfStyle w:val="100000000000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113E15">
              <w:rPr>
                <w:rFonts w:asciiTheme="majorHAnsi" w:eastAsia="Times New Roman" w:hAnsiTheme="majorHAnsi" w:cs="Calibri"/>
                <w:sz w:val="18"/>
                <w:szCs w:val="18"/>
              </w:rPr>
              <w:t>2011</w:t>
            </w:r>
          </w:p>
        </w:tc>
        <w:tc>
          <w:tcPr>
            <w:tcW w:w="960" w:type="dxa"/>
            <w:noWrap/>
            <w:hideMark/>
          </w:tcPr>
          <w:p w:rsidR="00E00BBF" w:rsidRPr="00113E15" w:rsidRDefault="00E00BBF" w:rsidP="00F44563">
            <w:pPr>
              <w:jc w:val="right"/>
              <w:cnfStyle w:val="100000000000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113E15">
              <w:rPr>
                <w:rFonts w:asciiTheme="majorHAnsi" w:eastAsia="Times New Roman" w:hAnsiTheme="majorHAnsi" w:cs="Calibri"/>
                <w:sz w:val="18"/>
                <w:szCs w:val="18"/>
              </w:rPr>
              <w:t>2012</w:t>
            </w:r>
          </w:p>
        </w:tc>
        <w:tc>
          <w:tcPr>
            <w:tcW w:w="960" w:type="dxa"/>
            <w:noWrap/>
            <w:hideMark/>
          </w:tcPr>
          <w:p w:rsidR="00E00BBF" w:rsidRPr="00113E15" w:rsidRDefault="00E00BBF" w:rsidP="00F44563">
            <w:pPr>
              <w:jc w:val="right"/>
              <w:cnfStyle w:val="100000000000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113E15">
              <w:rPr>
                <w:rFonts w:asciiTheme="majorHAnsi" w:eastAsia="Times New Roman" w:hAnsiTheme="majorHAnsi" w:cs="Calibri"/>
                <w:sz w:val="18"/>
                <w:szCs w:val="18"/>
              </w:rPr>
              <w:t>2013</w:t>
            </w:r>
          </w:p>
        </w:tc>
        <w:tc>
          <w:tcPr>
            <w:tcW w:w="960" w:type="dxa"/>
            <w:noWrap/>
            <w:hideMark/>
          </w:tcPr>
          <w:p w:rsidR="00E00BBF" w:rsidRPr="00113E15" w:rsidRDefault="00E00BBF" w:rsidP="00F44563">
            <w:pPr>
              <w:jc w:val="right"/>
              <w:cnfStyle w:val="100000000000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113E15">
              <w:rPr>
                <w:rFonts w:asciiTheme="majorHAnsi" w:eastAsia="Times New Roman" w:hAnsiTheme="majorHAnsi" w:cs="Calibri"/>
                <w:sz w:val="18"/>
                <w:szCs w:val="18"/>
              </w:rPr>
              <w:t>2014</w:t>
            </w:r>
          </w:p>
        </w:tc>
        <w:tc>
          <w:tcPr>
            <w:tcW w:w="960" w:type="dxa"/>
            <w:noWrap/>
            <w:hideMark/>
          </w:tcPr>
          <w:p w:rsidR="00E00BBF" w:rsidRPr="00113E15" w:rsidRDefault="00E00BBF" w:rsidP="00F44563">
            <w:pPr>
              <w:jc w:val="right"/>
              <w:cnfStyle w:val="100000000000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113E15">
              <w:rPr>
                <w:rFonts w:asciiTheme="majorHAnsi" w:eastAsia="Times New Roman" w:hAnsiTheme="majorHAnsi" w:cs="Calibri"/>
                <w:sz w:val="18"/>
                <w:szCs w:val="18"/>
              </w:rPr>
              <w:t>2015</w:t>
            </w:r>
          </w:p>
        </w:tc>
      </w:tr>
      <w:tr w:rsidR="00E00BBF" w:rsidRPr="00113E15" w:rsidTr="00F44563">
        <w:trPr>
          <w:cnfStyle w:val="000000100000"/>
          <w:trHeight w:val="300"/>
        </w:trPr>
        <w:tc>
          <w:tcPr>
            <w:cnfStyle w:val="001000000000"/>
            <w:tcW w:w="3540" w:type="dxa"/>
            <w:noWrap/>
            <w:hideMark/>
          </w:tcPr>
          <w:p w:rsidR="00E00BBF" w:rsidRPr="00113E15" w:rsidRDefault="00E00BBF" w:rsidP="00F44563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113E15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EBITDA margin (%)</w:t>
            </w:r>
          </w:p>
        </w:tc>
        <w:tc>
          <w:tcPr>
            <w:tcW w:w="1240" w:type="dxa"/>
            <w:noWrap/>
            <w:hideMark/>
          </w:tcPr>
          <w:p w:rsidR="00E00BBF" w:rsidRPr="00113E15" w:rsidRDefault="00E00BBF" w:rsidP="00F44563">
            <w:pPr>
              <w:jc w:val="right"/>
              <w:cnfStyle w:val="000000100000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113E15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13.3%</w:t>
            </w:r>
          </w:p>
        </w:tc>
        <w:tc>
          <w:tcPr>
            <w:tcW w:w="960" w:type="dxa"/>
            <w:noWrap/>
            <w:hideMark/>
          </w:tcPr>
          <w:p w:rsidR="00E00BBF" w:rsidRPr="00113E15" w:rsidRDefault="00E00BBF" w:rsidP="00F44563">
            <w:pPr>
              <w:jc w:val="right"/>
              <w:cnfStyle w:val="000000100000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113E15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12.2%</w:t>
            </w:r>
          </w:p>
        </w:tc>
        <w:tc>
          <w:tcPr>
            <w:tcW w:w="960" w:type="dxa"/>
            <w:noWrap/>
            <w:hideMark/>
          </w:tcPr>
          <w:p w:rsidR="00E00BBF" w:rsidRPr="00113E15" w:rsidRDefault="00E00BBF" w:rsidP="00F44563">
            <w:pPr>
              <w:jc w:val="right"/>
              <w:cnfStyle w:val="000000100000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113E15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13.6%</w:t>
            </w:r>
          </w:p>
        </w:tc>
        <w:tc>
          <w:tcPr>
            <w:tcW w:w="960" w:type="dxa"/>
            <w:noWrap/>
            <w:hideMark/>
          </w:tcPr>
          <w:p w:rsidR="00E00BBF" w:rsidRPr="00113E15" w:rsidRDefault="00E00BBF" w:rsidP="00F44563">
            <w:pPr>
              <w:jc w:val="right"/>
              <w:cnfStyle w:val="000000100000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113E15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16.0%</w:t>
            </w:r>
          </w:p>
        </w:tc>
        <w:tc>
          <w:tcPr>
            <w:tcW w:w="960" w:type="dxa"/>
            <w:noWrap/>
            <w:hideMark/>
          </w:tcPr>
          <w:p w:rsidR="00E00BBF" w:rsidRPr="00113E15" w:rsidRDefault="00E00BBF" w:rsidP="00F44563">
            <w:pPr>
              <w:jc w:val="right"/>
              <w:cnfStyle w:val="000000100000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113E15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15.2%</w:t>
            </w:r>
          </w:p>
        </w:tc>
      </w:tr>
      <w:tr w:rsidR="00E00BBF" w:rsidRPr="00113E15" w:rsidTr="00F44563">
        <w:trPr>
          <w:trHeight w:val="300"/>
        </w:trPr>
        <w:tc>
          <w:tcPr>
            <w:cnfStyle w:val="001000000000"/>
            <w:tcW w:w="3540" w:type="dxa"/>
            <w:noWrap/>
            <w:hideMark/>
          </w:tcPr>
          <w:p w:rsidR="00E00BBF" w:rsidRPr="00113E15" w:rsidRDefault="00E00BBF" w:rsidP="00F44563">
            <w:pPr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113E15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Return on Net worth (%)</w:t>
            </w:r>
          </w:p>
        </w:tc>
        <w:tc>
          <w:tcPr>
            <w:tcW w:w="1240" w:type="dxa"/>
            <w:noWrap/>
            <w:hideMark/>
          </w:tcPr>
          <w:p w:rsidR="00E00BBF" w:rsidRPr="00113E15" w:rsidRDefault="00E00BBF" w:rsidP="00F44563">
            <w:pPr>
              <w:jc w:val="right"/>
              <w:cnfStyle w:val="000000000000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113E15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36.5%</w:t>
            </w:r>
          </w:p>
        </w:tc>
        <w:tc>
          <w:tcPr>
            <w:tcW w:w="960" w:type="dxa"/>
            <w:noWrap/>
            <w:hideMark/>
          </w:tcPr>
          <w:p w:rsidR="00E00BBF" w:rsidRPr="00113E15" w:rsidRDefault="00E00BBF" w:rsidP="00F44563">
            <w:pPr>
              <w:jc w:val="right"/>
              <w:cnfStyle w:val="000000000000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113E15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30.8%</w:t>
            </w:r>
          </w:p>
        </w:tc>
        <w:tc>
          <w:tcPr>
            <w:tcW w:w="960" w:type="dxa"/>
            <w:noWrap/>
            <w:hideMark/>
          </w:tcPr>
          <w:p w:rsidR="00E00BBF" w:rsidRPr="00113E15" w:rsidRDefault="00E00BBF" w:rsidP="00F44563">
            <w:pPr>
              <w:jc w:val="right"/>
              <w:cnfStyle w:val="000000000000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113E15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25.3%</w:t>
            </w:r>
          </w:p>
        </w:tc>
        <w:tc>
          <w:tcPr>
            <w:tcW w:w="960" w:type="dxa"/>
            <w:noWrap/>
            <w:hideMark/>
          </w:tcPr>
          <w:p w:rsidR="00E00BBF" w:rsidRPr="00113E15" w:rsidRDefault="00E00BBF" w:rsidP="00F44563">
            <w:pPr>
              <w:jc w:val="right"/>
              <w:cnfStyle w:val="000000000000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113E15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30.1%</w:t>
            </w:r>
          </w:p>
        </w:tc>
        <w:tc>
          <w:tcPr>
            <w:tcW w:w="960" w:type="dxa"/>
            <w:noWrap/>
            <w:hideMark/>
          </w:tcPr>
          <w:p w:rsidR="00E00BBF" w:rsidRPr="00113E15" w:rsidRDefault="00E00BBF" w:rsidP="00F44563">
            <w:pPr>
              <w:jc w:val="right"/>
              <w:cnfStyle w:val="000000000000"/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</w:pPr>
            <w:r w:rsidRPr="00113E15">
              <w:rPr>
                <w:rFonts w:asciiTheme="majorHAnsi" w:eastAsia="Times New Roman" w:hAnsiTheme="majorHAnsi" w:cs="Calibri"/>
                <w:color w:val="000000"/>
                <w:sz w:val="18"/>
                <w:szCs w:val="18"/>
              </w:rPr>
              <w:t>36.0%</w:t>
            </w:r>
          </w:p>
        </w:tc>
      </w:tr>
    </w:tbl>
    <w:p w:rsidR="00271EE5" w:rsidRPr="00271EE5" w:rsidRDefault="00271EE5" w:rsidP="00271EE5">
      <w:pPr>
        <w:pStyle w:val="NoSpacing"/>
        <w:rPr>
          <w:rFonts w:asciiTheme="majorHAnsi" w:hAnsiTheme="majorHAnsi"/>
          <w:sz w:val="16"/>
          <w:szCs w:val="16"/>
        </w:rPr>
      </w:pPr>
      <w:r w:rsidRPr="00271EE5">
        <w:rPr>
          <w:rFonts w:asciiTheme="majorHAnsi" w:hAnsiTheme="majorHAnsi"/>
          <w:sz w:val="16"/>
          <w:szCs w:val="16"/>
        </w:rPr>
        <w:t>Source: Company</w:t>
      </w:r>
    </w:p>
    <w:sectPr w:rsidR="00271EE5" w:rsidRPr="00271EE5" w:rsidSect="006831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53121"/>
    <w:multiLevelType w:val="hybridMultilevel"/>
    <w:tmpl w:val="FC8E69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F24A8"/>
    <w:multiLevelType w:val="hybridMultilevel"/>
    <w:tmpl w:val="0172D3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127740"/>
    <w:multiLevelType w:val="hybridMultilevel"/>
    <w:tmpl w:val="57D05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744796"/>
    <w:multiLevelType w:val="hybridMultilevel"/>
    <w:tmpl w:val="15E660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5D79"/>
    <w:rsid w:val="00046E5F"/>
    <w:rsid w:val="00113E15"/>
    <w:rsid w:val="00174785"/>
    <w:rsid w:val="00257A59"/>
    <w:rsid w:val="00271EE5"/>
    <w:rsid w:val="002F05A7"/>
    <w:rsid w:val="00304164"/>
    <w:rsid w:val="003462E2"/>
    <w:rsid w:val="003E2701"/>
    <w:rsid w:val="00483C2D"/>
    <w:rsid w:val="006367A3"/>
    <w:rsid w:val="00683192"/>
    <w:rsid w:val="00737F9A"/>
    <w:rsid w:val="00764836"/>
    <w:rsid w:val="007B5D79"/>
    <w:rsid w:val="007E37E8"/>
    <w:rsid w:val="008532A9"/>
    <w:rsid w:val="008D1500"/>
    <w:rsid w:val="00926638"/>
    <w:rsid w:val="00982913"/>
    <w:rsid w:val="00985D8D"/>
    <w:rsid w:val="009B6E6D"/>
    <w:rsid w:val="00A00256"/>
    <w:rsid w:val="00B92E6F"/>
    <w:rsid w:val="00BE788A"/>
    <w:rsid w:val="00C77566"/>
    <w:rsid w:val="00CF41AB"/>
    <w:rsid w:val="00D11333"/>
    <w:rsid w:val="00DD60A8"/>
    <w:rsid w:val="00DF35D7"/>
    <w:rsid w:val="00E00BBF"/>
    <w:rsid w:val="00E30BCB"/>
    <w:rsid w:val="00E33F64"/>
    <w:rsid w:val="00E42391"/>
    <w:rsid w:val="00EE3123"/>
    <w:rsid w:val="00EF411C"/>
    <w:rsid w:val="00F61C17"/>
    <w:rsid w:val="00FA19BF"/>
    <w:rsid w:val="00FC5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192"/>
  </w:style>
  <w:style w:type="paragraph" w:styleId="Heading1">
    <w:name w:val="heading 1"/>
    <w:basedOn w:val="Normal"/>
    <w:link w:val="Heading1Char"/>
    <w:uiPriority w:val="9"/>
    <w:qFormat/>
    <w:rsid w:val="00E423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5D79"/>
    <w:pPr>
      <w:spacing w:after="0" w:line="240" w:lineRule="auto"/>
    </w:pPr>
  </w:style>
  <w:style w:type="character" w:customStyle="1" w:styleId="morecontent">
    <w:name w:val="morecontent"/>
    <w:basedOn w:val="DefaultParagraphFont"/>
    <w:rsid w:val="00257A59"/>
  </w:style>
  <w:style w:type="table" w:customStyle="1" w:styleId="LightList-Accent11">
    <w:name w:val="Light List - Accent 11"/>
    <w:basedOn w:val="TableNormal"/>
    <w:uiPriority w:val="61"/>
    <w:rsid w:val="003462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E4239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E4239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8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ocuments\Marico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Marico Limited </a:t>
            </a:r>
          </a:p>
        </c:rich>
      </c:tx>
      <c:overlay val="1"/>
    </c:title>
    <c:plotArea>
      <c:layout>
        <c:manualLayout>
          <c:layoutTarget val="inner"/>
          <c:xMode val="edge"/>
          <c:yMode val="edge"/>
          <c:x val="0.10002321825156472"/>
          <c:y val="5.1400554097404488E-2"/>
          <c:w val="0.84246433138165389"/>
          <c:h val="0.76317512394284071"/>
        </c:manualLayout>
      </c:layout>
      <c:barChart>
        <c:barDir val="col"/>
        <c:grouping val="clustered"/>
        <c:ser>
          <c:idx val="1"/>
          <c:order val="0"/>
          <c:tx>
            <c:strRef>
              <c:f>Sheet1!$B$6</c:f>
              <c:strCache>
                <c:ptCount val="1"/>
                <c:pt idx="0">
                  <c:v>Income from Ooperations</c:v>
                </c:pt>
              </c:strCache>
            </c:strRef>
          </c:tx>
          <c:cat>
            <c:numRef>
              <c:f>Sheet1!$C$5:$G$5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Sheet1!$C$6:$G$6</c:f>
              <c:numCache>
                <c:formatCode>#,##0_);\(#,##0\)</c:formatCode>
                <c:ptCount val="5"/>
                <c:pt idx="0">
                  <c:v>3135</c:v>
                </c:pt>
                <c:pt idx="1">
                  <c:v>3979</c:v>
                </c:pt>
                <c:pt idx="2">
                  <c:v>4596</c:v>
                </c:pt>
                <c:pt idx="3">
                  <c:v>4686</c:v>
                </c:pt>
                <c:pt idx="4">
                  <c:v>5733</c:v>
                </c:pt>
              </c:numCache>
            </c:numRef>
          </c:val>
        </c:ser>
        <c:ser>
          <c:idx val="2"/>
          <c:order val="1"/>
          <c:tx>
            <c:strRef>
              <c:f>Sheet1!$B$7</c:f>
              <c:strCache>
                <c:ptCount val="1"/>
                <c:pt idx="0">
                  <c:v>EBITDA</c:v>
                </c:pt>
              </c:strCache>
            </c:strRef>
          </c:tx>
          <c:cat>
            <c:numRef>
              <c:f>Sheet1!$C$5:$G$5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Sheet1!$C$7:$G$7</c:f>
              <c:numCache>
                <c:formatCode>#,##0_);\(#,##0\)</c:formatCode>
                <c:ptCount val="5"/>
                <c:pt idx="0">
                  <c:v>418</c:v>
                </c:pt>
                <c:pt idx="1">
                  <c:v>484</c:v>
                </c:pt>
                <c:pt idx="2">
                  <c:v>625</c:v>
                </c:pt>
                <c:pt idx="3">
                  <c:v>748</c:v>
                </c:pt>
                <c:pt idx="4">
                  <c:v>870</c:v>
                </c:pt>
              </c:numCache>
            </c:numRef>
          </c:val>
        </c:ser>
        <c:ser>
          <c:idx val="3"/>
          <c:order val="2"/>
          <c:tx>
            <c:strRef>
              <c:f>Sheet1!$B$8</c:f>
              <c:strCache>
                <c:ptCount val="1"/>
                <c:pt idx="0">
                  <c:v>PAT</c:v>
                </c:pt>
              </c:strCache>
            </c:strRef>
          </c:tx>
          <c:cat>
            <c:numRef>
              <c:f>Sheet1!$C$5:$G$5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Sheet1!$C$8:$G$8</c:f>
              <c:numCache>
                <c:formatCode>#,##0_);\(#,##0\)</c:formatCode>
                <c:ptCount val="5"/>
                <c:pt idx="0">
                  <c:v>286</c:v>
                </c:pt>
                <c:pt idx="1">
                  <c:v>317</c:v>
                </c:pt>
                <c:pt idx="2">
                  <c:v>395</c:v>
                </c:pt>
                <c:pt idx="3">
                  <c:v>485</c:v>
                </c:pt>
                <c:pt idx="4">
                  <c:v>573</c:v>
                </c:pt>
              </c:numCache>
            </c:numRef>
          </c:val>
        </c:ser>
        <c:axId val="144670080"/>
        <c:axId val="190338176"/>
      </c:barChart>
      <c:lineChart>
        <c:grouping val="standard"/>
        <c:ser>
          <c:idx val="4"/>
          <c:order val="3"/>
          <c:tx>
            <c:strRef>
              <c:f>Sheet1!$B$9</c:f>
              <c:strCache>
                <c:ptCount val="1"/>
                <c:pt idx="0">
                  <c:v>EPS</c:v>
                </c:pt>
              </c:strCache>
            </c:strRef>
          </c:tx>
          <c:marker>
            <c:symbol val="none"/>
          </c:marker>
          <c:cat>
            <c:numRef>
              <c:f>Sheet1!$C$5:$G$5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Sheet1!$C$9:$G$9</c:f>
              <c:numCache>
                <c:formatCode>General</c:formatCode>
                <c:ptCount val="5"/>
                <c:pt idx="0">
                  <c:v>4.7</c:v>
                </c:pt>
                <c:pt idx="1">
                  <c:v>5.2</c:v>
                </c:pt>
                <c:pt idx="2">
                  <c:v>6.1</c:v>
                </c:pt>
                <c:pt idx="3">
                  <c:v>7.5</c:v>
                </c:pt>
                <c:pt idx="4">
                  <c:v>8.9</c:v>
                </c:pt>
              </c:numCache>
            </c:numRef>
          </c:val>
        </c:ser>
        <c:marker val="1"/>
        <c:axId val="190342272"/>
        <c:axId val="190340096"/>
      </c:lineChart>
      <c:catAx>
        <c:axId val="144670080"/>
        <c:scaling>
          <c:orientation val="minMax"/>
        </c:scaling>
        <c:axPos val="b"/>
        <c:numFmt formatCode="General" sourceLinked="1"/>
        <c:tickLblPos val="nextTo"/>
        <c:crossAx val="190338176"/>
        <c:crosses val="autoZero"/>
        <c:auto val="1"/>
        <c:lblAlgn val="ctr"/>
        <c:lblOffset val="100"/>
      </c:catAx>
      <c:valAx>
        <c:axId val="190338176"/>
        <c:scaling>
          <c:orientation val="minMax"/>
        </c:scaling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In Rs. Cr.</a:t>
                </a:r>
              </a:p>
            </c:rich>
          </c:tx>
        </c:title>
        <c:numFmt formatCode="#,##0_);\(#,##0\)" sourceLinked="1"/>
        <c:tickLblPos val="nextTo"/>
        <c:crossAx val="144670080"/>
        <c:crosses val="autoZero"/>
        <c:crossBetween val="between"/>
      </c:valAx>
      <c:valAx>
        <c:axId val="190340096"/>
        <c:scaling>
          <c:orientation val="minMax"/>
        </c:scaling>
        <c:axPos val="r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In Rs.</a:t>
                </a:r>
              </a:p>
            </c:rich>
          </c:tx>
        </c:title>
        <c:numFmt formatCode="General" sourceLinked="1"/>
        <c:tickLblPos val="nextTo"/>
        <c:crossAx val="190342272"/>
        <c:crosses val="max"/>
        <c:crossBetween val="between"/>
      </c:valAx>
      <c:catAx>
        <c:axId val="190342272"/>
        <c:scaling>
          <c:orientation val="minMax"/>
        </c:scaling>
        <c:delete val="1"/>
        <c:axPos val="b"/>
        <c:numFmt formatCode="General" sourceLinked="1"/>
        <c:tickLblPos val="none"/>
        <c:crossAx val="190340096"/>
        <c:crosses val="autoZero"/>
        <c:auto val="1"/>
        <c:lblAlgn val="ctr"/>
        <c:lblOffset val="100"/>
      </c:catAx>
    </c:plotArea>
    <c:legend>
      <c:legendPos val="r"/>
      <c:layout>
        <c:manualLayout>
          <c:xMode val="edge"/>
          <c:yMode val="edge"/>
          <c:x val="0"/>
          <c:y val="0.91589895013123368"/>
          <c:w val="0.99454024496937887"/>
          <c:h val="8.0239136774569841E-2"/>
        </c:manualLayout>
      </c:layout>
    </c:legend>
    <c:plotVisOnly val="1"/>
    <c:dispBlanksAs val="gap"/>
  </c:chart>
  <c:spPr>
    <a:solidFill>
      <a:schemeClr val="lt1"/>
    </a:solidFill>
    <a:ln w="9525" cap="flat" cmpd="sng" algn="ctr">
      <a:solidFill>
        <a:schemeClr val="dk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4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35</cp:revision>
  <cp:lastPrinted>2016-01-31T01:52:00Z</cp:lastPrinted>
  <dcterms:created xsi:type="dcterms:W3CDTF">2016-01-30T14:23:00Z</dcterms:created>
  <dcterms:modified xsi:type="dcterms:W3CDTF">2016-01-31T09:09:00Z</dcterms:modified>
</cp:coreProperties>
</file>