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5F5" w:rsidRDefault="00FD15F5" w:rsidP="00602B6F">
      <w:pPr>
        <w:jc w:val="center"/>
        <w:rPr>
          <w:sz w:val="28"/>
          <w:szCs w:val="28"/>
        </w:rPr>
      </w:pPr>
      <w:r>
        <w:rPr>
          <w:sz w:val="28"/>
          <w:szCs w:val="28"/>
        </w:rPr>
        <w:t>Are We Done Yet?</w:t>
      </w:r>
    </w:p>
    <w:p w:rsidR="001432D2" w:rsidRDefault="001432D2" w:rsidP="001432D2">
      <w:pPr>
        <w:rPr>
          <w:sz w:val="24"/>
          <w:szCs w:val="24"/>
        </w:rPr>
      </w:pPr>
      <w:r>
        <w:rPr>
          <w:sz w:val="24"/>
          <w:szCs w:val="24"/>
        </w:rPr>
        <w:t xml:space="preserve">On January 26, 2015, I wrote an article questioning the relationship between falling oil prices, slowing Chinese GDP, and the precipitous decline in the U.S. stock markets. I counseled readers to take a breath, that the stock market turmoil was overdone and the U.S. economy was secure. </w:t>
      </w:r>
    </w:p>
    <w:p w:rsidR="001432D2" w:rsidRDefault="001432D2" w:rsidP="001432D2">
      <w:pPr>
        <w:rPr>
          <w:sz w:val="24"/>
          <w:szCs w:val="24"/>
        </w:rPr>
      </w:pPr>
      <w:r>
        <w:rPr>
          <w:sz w:val="24"/>
          <w:szCs w:val="24"/>
        </w:rPr>
        <w:t>Shortly after my article, the S&amp;P 500 index rebounded from 1903.63 to 1949.24 as on January 29</w:t>
      </w:r>
      <w:r w:rsidRPr="00962D0B">
        <w:rPr>
          <w:sz w:val="24"/>
          <w:szCs w:val="24"/>
          <w:vertAlign w:val="superscript"/>
        </w:rPr>
        <w:t>th</w:t>
      </w:r>
      <w:r>
        <w:rPr>
          <w:sz w:val="24"/>
          <w:szCs w:val="24"/>
        </w:rPr>
        <w:t xml:space="preserve"> the Bureau of Economic Analysis announced 4</w:t>
      </w:r>
      <w:r w:rsidRPr="00DE2837">
        <w:rPr>
          <w:sz w:val="24"/>
          <w:szCs w:val="24"/>
          <w:vertAlign w:val="superscript"/>
        </w:rPr>
        <w:t>th</w:t>
      </w:r>
      <w:r>
        <w:rPr>
          <w:sz w:val="24"/>
          <w:szCs w:val="24"/>
        </w:rPr>
        <w:t xml:space="preserve"> quarter GDP growth at a modest 0.7%, slightly below analyst expectations of 0.8%. </w:t>
      </w:r>
    </w:p>
    <w:p w:rsidR="001432D2" w:rsidRPr="00FD6E4C" w:rsidRDefault="001432D2" w:rsidP="001432D2">
      <w:pPr>
        <w:jc w:val="center"/>
        <w:rPr>
          <w:b/>
          <w:sz w:val="24"/>
          <w:szCs w:val="24"/>
        </w:rPr>
      </w:pPr>
      <w:r w:rsidRPr="00FD6E4C">
        <w:rPr>
          <w:b/>
          <w:sz w:val="24"/>
          <w:szCs w:val="24"/>
        </w:rPr>
        <w:t>U.S. Real Gross Domestic Product and Civilian Unemployment Rate</w:t>
      </w:r>
    </w:p>
    <w:p w:rsidR="001432D2" w:rsidRDefault="001432D2" w:rsidP="001432D2">
      <w:pPr>
        <w:jc w:val="center"/>
        <w:rPr>
          <w:sz w:val="24"/>
          <w:szCs w:val="24"/>
        </w:rPr>
      </w:pPr>
      <w:r>
        <w:rPr>
          <w:noProof/>
        </w:rPr>
        <w:drawing>
          <wp:inline distT="0" distB="0" distL="0" distR="0" wp14:anchorId="4E6E192F" wp14:editId="70C90CA5">
            <wp:extent cx="4680527" cy="2924175"/>
            <wp:effectExtent l="0" t="0" r="6350" b="0"/>
            <wp:docPr id="4" name="Picture 4" descr="https://research.stlouisfed.org/fred2/graph/fredgraph.jpg?hires=1&amp;g=3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earch.stlouisfed.org/fred2/graph/fredgraph.jpg?hires=1&amp;g=3r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9939" cy="2936303"/>
                    </a:xfrm>
                    <a:prstGeom prst="rect">
                      <a:avLst/>
                    </a:prstGeom>
                    <a:noFill/>
                    <a:ln>
                      <a:noFill/>
                    </a:ln>
                  </pic:spPr>
                </pic:pic>
              </a:graphicData>
            </a:graphic>
          </wp:inline>
        </w:drawing>
      </w:r>
    </w:p>
    <w:p w:rsidR="001432D2" w:rsidRDefault="001432D2" w:rsidP="001432D2">
      <w:pPr>
        <w:rPr>
          <w:b/>
          <w:sz w:val="24"/>
          <w:szCs w:val="24"/>
        </w:rPr>
      </w:pPr>
    </w:p>
    <w:p w:rsidR="001432D2" w:rsidRPr="00182437" w:rsidRDefault="001432D2" w:rsidP="001432D2">
      <w:pPr>
        <w:rPr>
          <w:b/>
          <w:sz w:val="24"/>
          <w:szCs w:val="24"/>
        </w:rPr>
      </w:pPr>
      <w:r w:rsidRPr="00182437">
        <w:rPr>
          <w:b/>
          <w:sz w:val="24"/>
          <w:szCs w:val="24"/>
        </w:rPr>
        <w:t>Stock Markets Stabilize with 4</w:t>
      </w:r>
      <w:r w:rsidRPr="00182437">
        <w:rPr>
          <w:b/>
          <w:sz w:val="24"/>
          <w:szCs w:val="24"/>
          <w:vertAlign w:val="superscript"/>
        </w:rPr>
        <w:t>th</w:t>
      </w:r>
      <w:r w:rsidRPr="00182437">
        <w:rPr>
          <w:b/>
          <w:sz w:val="24"/>
          <w:szCs w:val="24"/>
        </w:rPr>
        <w:t xml:space="preserve"> Quarter GDP Report</w:t>
      </w:r>
    </w:p>
    <w:p w:rsidR="001432D2" w:rsidRDefault="001432D2" w:rsidP="001432D2">
      <w:pPr>
        <w:rPr>
          <w:sz w:val="24"/>
          <w:szCs w:val="24"/>
        </w:rPr>
      </w:pPr>
      <w:r>
        <w:rPr>
          <w:sz w:val="24"/>
          <w:szCs w:val="24"/>
        </w:rPr>
        <w:t>Why did the stock market react so well to such modes</w:t>
      </w:r>
      <w:r w:rsidR="00C92C05">
        <w:rPr>
          <w:sz w:val="24"/>
          <w:szCs w:val="24"/>
        </w:rPr>
        <w:t>t GDP growth? I</w:t>
      </w:r>
      <w:r>
        <w:rPr>
          <w:sz w:val="24"/>
          <w:szCs w:val="24"/>
        </w:rPr>
        <w:t>f you look deeper into the GDP components, the slow growth was primarily due to weak exports and low oil prices, while consumer spending and residential construction remained strong. When considered in light of positive trends in disposable income and job growth, investors seemed fairly content with the 4</w:t>
      </w:r>
      <w:r w:rsidRPr="00E24E6D">
        <w:rPr>
          <w:sz w:val="24"/>
          <w:szCs w:val="24"/>
          <w:vertAlign w:val="superscript"/>
        </w:rPr>
        <w:t>th</w:t>
      </w:r>
      <w:r>
        <w:rPr>
          <w:sz w:val="24"/>
          <w:szCs w:val="24"/>
        </w:rPr>
        <w:t xml:space="preserve"> GDP results. Concern about specific sectors of the economy are well-founded, however, as low oil prices are indeed causing an increasing number of shale oil drillers to default on their debt obligations. But lenders prepare for this type of risk by diversifying their investments, and there is little evidence that distress in the oil patch will spread throughout the broader economy.</w:t>
      </w:r>
    </w:p>
    <w:p w:rsidR="001432D2" w:rsidRPr="00C073D6" w:rsidRDefault="001432D2" w:rsidP="001432D2">
      <w:pPr>
        <w:jc w:val="center"/>
        <w:rPr>
          <w:b/>
        </w:rPr>
      </w:pPr>
      <w:r>
        <w:rPr>
          <w:b/>
        </w:rPr>
        <w:br w:type="page"/>
      </w:r>
      <w:r w:rsidRPr="00C073D6">
        <w:rPr>
          <w:b/>
        </w:rPr>
        <w:lastRenderedPageBreak/>
        <w:t>S&amp;P 500 Stock Market Index</w:t>
      </w:r>
      <w:r>
        <w:rPr>
          <w:b/>
        </w:rPr>
        <w:t>, February 2015 - February 2016</w:t>
      </w:r>
    </w:p>
    <w:p w:rsidR="001432D2" w:rsidRDefault="001432D2" w:rsidP="001432D2">
      <w:pPr>
        <w:jc w:val="center"/>
      </w:pPr>
      <w:r>
        <w:rPr>
          <w:noProof/>
        </w:rPr>
        <mc:AlternateContent>
          <mc:Choice Requires="wps">
            <w:drawing>
              <wp:anchor distT="0" distB="0" distL="114300" distR="114300" simplePos="0" relativeHeight="251662336" behindDoc="0" locked="0" layoutInCell="1" allowOverlap="1" wp14:anchorId="6BF6F759" wp14:editId="7C7BF043">
                <wp:simplePos x="0" y="0"/>
                <wp:positionH relativeFrom="column">
                  <wp:posOffset>5372100</wp:posOffset>
                </wp:positionH>
                <wp:positionV relativeFrom="paragraph">
                  <wp:posOffset>295910</wp:posOffset>
                </wp:positionV>
                <wp:extent cx="742950" cy="18573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742950" cy="1857375"/>
                        </a:xfrm>
                        <a:prstGeom prst="round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3F4BDC" id="Rounded Rectangle 14" o:spid="_x0000_s1026" style="position:absolute;margin-left:423pt;margin-top:23.3pt;width:58.5pt;height:146.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" filled="f" strokecolor="#243f60 [1604]" strokeweight="1.25pt"/>
            </w:pict>
          </mc:Fallback>
        </mc:AlternateContent>
      </w:r>
      <w:r>
        <w:rPr>
          <w:noProof/>
        </w:rPr>
        <w:drawing>
          <wp:inline distT="0" distB="0" distL="0" distR="0" wp14:anchorId="39BD3FF0" wp14:editId="2C4AAEEF">
            <wp:extent cx="5936622" cy="21621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61643" cy="2171288"/>
                    </a:xfrm>
                    <a:prstGeom prst="rect">
                      <a:avLst/>
                    </a:prstGeom>
                  </pic:spPr>
                </pic:pic>
              </a:graphicData>
            </a:graphic>
          </wp:inline>
        </w:drawing>
      </w:r>
    </w:p>
    <w:p w:rsidR="001432D2" w:rsidRDefault="001432D2" w:rsidP="001432D2">
      <w:pPr>
        <w:jc w:val="center"/>
      </w:pPr>
      <w:proofErr w:type="gramStart"/>
      <w:r w:rsidRPr="000B395E">
        <w:t>http</w:t>
      </w:r>
      <w:proofErr w:type="gramEnd"/>
      <w:r w:rsidRPr="000B395E">
        <w:t>://www.msn.com/en-us/money/indexdetails/fi-33.10.!SPX</w:t>
      </w:r>
      <w:proofErr w:type="gramStart"/>
      <w:r w:rsidRPr="000B395E">
        <w:t>?ocid</w:t>
      </w:r>
      <w:proofErr w:type="gramEnd"/>
      <w:r w:rsidRPr="000B395E">
        <w:t>=INSFIST10</w:t>
      </w:r>
    </w:p>
    <w:p w:rsidR="001432D2" w:rsidRDefault="001432D2" w:rsidP="001432D2">
      <w:pPr>
        <w:rPr>
          <w:b/>
          <w:sz w:val="24"/>
          <w:szCs w:val="24"/>
        </w:rPr>
      </w:pPr>
    </w:p>
    <w:p w:rsidR="001432D2" w:rsidRPr="00DE2837" w:rsidRDefault="001432D2" w:rsidP="001432D2">
      <w:pPr>
        <w:rPr>
          <w:b/>
          <w:sz w:val="24"/>
          <w:szCs w:val="24"/>
        </w:rPr>
      </w:pPr>
      <w:r w:rsidRPr="00DE2837">
        <w:rPr>
          <w:b/>
          <w:sz w:val="24"/>
          <w:szCs w:val="24"/>
        </w:rPr>
        <w:t xml:space="preserve">Do Stock Markets Really </w:t>
      </w:r>
      <w:r>
        <w:rPr>
          <w:b/>
          <w:sz w:val="24"/>
          <w:szCs w:val="24"/>
        </w:rPr>
        <w:t>Predict</w:t>
      </w:r>
      <w:r w:rsidRPr="00DE2837">
        <w:rPr>
          <w:b/>
          <w:sz w:val="24"/>
          <w:szCs w:val="24"/>
        </w:rPr>
        <w:t xml:space="preserve"> Economic Recessions?</w:t>
      </w:r>
    </w:p>
    <w:p w:rsidR="001432D2" w:rsidRDefault="001432D2" w:rsidP="001432D2">
      <w:pPr>
        <w:rPr>
          <w:sz w:val="24"/>
          <w:szCs w:val="24"/>
        </w:rPr>
      </w:pPr>
      <w:r>
        <w:rPr>
          <w:sz w:val="24"/>
          <w:szCs w:val="24"/>
        </w:rPr>
        <w:t xml:space="preserve">To twist a common phrase, every silver lining has a cloud, and in the days following the GDP announcement oil prices continued their downward trend and talk of an economic slowdown began to circulate in the financial press. By February 11, the S&amp;P 500 index had plummeted to a low of 1829.08, before recovering a bit to end the week at 1864.78. Clearly, the turmoil was not over! </w:t>
      </w:r>
    </w:p>
    <w:p w:rsidR="0065186B" w:rsidRDefault="001432D2" w:rsidP="001432D2">
      <w:pPr>
        <w:rPr>
          <w:sz w:val="24"/>
          <w:szCs w:val="24"/>
        </w:rPr>
      </w:pPr>
      <w:r>
        <w:rPr>
          <w:sz w:val="24"/>
          <w:szCs w:val="24"/>
        </w:rPr>
        <w:t xml:space="preserve">But do falling stock </w:t>
      </w:r>
      <w:r w:rsidR="00B173EA">
        <w:rPr>
          <w:sz w:val="24"/>
          <w:szCs w:val="24"/>
        </w:rPr>
        <w:t>prices</w:t>
      </w:r>
      <w:r>
        <w:rPr>
          <w:sz w:val="24"/>
          <w:szCs w:val="24"/>
        </w:rPr>
        <w:t xml:space="preserve"> really foretell an economic decline in the U.S.? Let’s take another look at the evidence. </w:t>
      </w:r>
    </w:p>
    <w:p w:rsidR="001432D2" w:rsidRDefault="001432D2" w:rsidP="001432D2">
      <w:pPr>
        <w:rPr>
          <w:sz w:val="24"/>
          <w:szCs w:val="24"/>
        </w:rPr>
      </w:pPr>
      <w:r>
        <w:rPr>
          <w:sz w:val="24"/>
          <w:szCs w:val="24"/>
        </w:rPr>
        <w:t>The Brookings Institute published an article by George L. Perry on February 2, 2016</w:t>
      </w:r>
      <w:r>
        <w:rPr>
          <w:rStyle w:val="EndnoteReference"/>
          <w:sz w:val="24"/>
          <w:szCs w:val="24"/>
        </w:rPr>
        <w:endnoteReference w:id="1"/>
      </w:r>
      <w:r>
        <w:rPr>
          <w:sz w:val="24"/>
          <w:szCs w:val="24"/>
        </w:rPr>
        <w:t xml:space="preserve"> reviewing the relationship between stock market declines and economic recessions. Mr. Perry concludes that significant stock market declines – say 20% or so – do indeed tend to precede economic downturns. However, more moderate declines in the stock market happen much more frequently than do recessions. And when such declines are accompanied by decent economic figures, the predictive power of the stock market is unreliable. </w:t>
      </w:r>
    </w:p>
    <w:p w:rsidR="001432D2" w:rsidRDefault="001432D2" w:rsidP="001432D2">
      <w:pPr>
        <w:rPr>
          <w:b/>
        </w:rPr>
      </w:pPr>
      <w:r w:rsidRPr="0010591C">
        <w:rPr>
          <w:b/>
        </w:rPr>
        <w:t>So, Where Do We Go From Here?</w:t>
      </w:r>
    </w:p>
    <w:p w:rsidR="001432D2" w:rsidRDefault="001432D2" w:rsidP="001432D2">
      <w:r>
        <w:rPr>
          <w:noProof/>
        </w:rPr>
        <mc:AlternateContent>
          <mc:Choice Requires="wps">
            <w:drawing>
              <wp:anchor distT="0" distB="0" distL="114300" distR="114300" simplePos="0" relativeHeight="251663360" behindDoc="0" locked="0" layoutInCell="1" allowOverlap="1" wp14:anchorId="65C7E9F2" wp14:editId="4166E452">
                <wp:simplePos x="0" y="0"/>
                <wp:positionH relativeFrom="column">
                  <wp:posOffset>2457450</wp:posOffset>
                </wp:positionH>
                <wp:positionV relativeFrom="paragraph">
                  <wp:posOffset>906780</wp:posOffset>
                </wp:positionV>
                <wp:extent cx="4076700" cy="6381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076700" cy="638175"/>
                        </a:xfrm>
                        <a:prstGeom prst="roundRect">
                          <a:avLst/>
                        </a:prstGeom>
                        <a:solidFill>
                          <a:schemeClr val="accent1">
                            <a:alpha val="65000"/>
                          </a:scheme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rsidR="001432D2" w:rsidRPr="000B6947" w:rsidRDefault="001432D2" w:rsidP="001432D2">
                            <w:pPr>
                              <w:spacing w:after="0" w:line="240" w:lineRule="auto"/>
                              <w:jc w:val="center"/>
                              <w:rPr>
                                <w:b/>
                                <w:i/>
                                <w:sz w:val="24"/>
                                <w:szCs w:val="24"/>
                              </w:rPr>
                            </w:pPr>
                            <w:r w:rsidRPr="000B6947">
                              <w:rPr>
                                <w:b/>
                                <w:i/>
                                <w:sz w:val="24"/>
                                <w:szCs w:val="24"/>
                              </w:rPr>
                              <w:t>“As is always the case, the economic outlook is uncertain. …economic growth could also exceed our projections…”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7E9F2" id="Rounded Rectangle 2" o:spid="_x0000_s1026" style="position:absolute;margin-left:193.5pt;margin-top:71.4pt;width:321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" fillcolor="#4f81bd [3204]" strokecolor="#243f60 [1604]" strokeweight="1.25pt">
                <v:fill opacity="42662f"/>
                <v:textbox>
                  <w:txbxContent>
                    <w:p w:rsidR="001432D2" w:rsidRPr="000B6947" w:rsidRDefault="001432D2" w:rsidP="001432D2">
                      <w:pPr>
                        <w:spacing w:after="0" w:line="240" w:lineRule="auto"/>
                        <w:jc w:val="center"/>
                        <w:rPr>
                          <w:b/>
                          <w:i/>
                          <w:sz w:val="24"/>
                          <w:szCs w:val="24"/>
                        </w:rPr>
                      </w:pPr>
                      <w:r w:rsidRPr="000B6947">
                        <w:rPr>
                          <w:b/>
                          <w:i/>
                          <w:sz w:val="24"/>
                          <w:szCs w:val="24"/>
                        </w:rPr>
                        <w:t>“As is always the case, the economic outlook is uncertain. …economic growth could also exceed our projections…”</w:t>
                      </w:r>
                    </w:p>
                  </w:txbxContent>
                </v:textbox>
              </v:roundrect>
            </w:pict>
          </mc:Fallback>
        </mc:AlternateContent>
      </w:r>
      <w:r w:rsidRPr="0010591C">
        <w:t>As</w:t>
      </w:r>
      <w:r>
        <w:t xml:space="preserve"> articulated by Fed Chairman Janet </w:t>
      </w:r>
      <w:proofErr w:type="spellStart"/>
      <w:r>
        <w:t>Yellen</w:t>
      </w:r>
      <w:proofErr w:type="spellEnd"/>
      <w:r>
        <w:t xml:space="preserve"> in her testimony to Congress on February 11, the U.S. economy remains on an upward trend at present, though the future is uncertain. On the positive side, employment gains, low interest rates, and falling oil prices provide consumers with more disposable income to support domestic businesses. On the negative side, slowing Chinese and commodity-based economies, combined with the strong dollar, continue to depress U.S. exports.</w:t>
      </w:r>
    </w:p>
    <w:p w:rsidR="001432D2" w:rsidRDefault="001432D2" w:rsidP="001432D2">
      <w:pPr>
        <w:spacing w:after="0"/>
      </w:pPr>
      <w:r>
        <w:t xml:space="preserve">On balance, I reiterate my earlier advice. </w:t>
      </w:r>
    </w:p>
    <w:p w:rsidR="001432D2" w:rsidRDefault="001432D2" w:rsidP="00FC59B6">
      <w:pPr>
        <w:spacing w:after="0"/>
      </w:pPr>
      <w:r>
        <w:lastRenderedPageBreak/>
        <w:t>Stay strong, hold on tight, and wait for smoother sailing ahead. Investors with a</w:t>
      </w:r>
      <w:r w:rsidR="00C92C05">
        <w:t xml:space="preserve"> </w:t>
      </w:r>
      <w:r>
        <w:t>stomach for rough seas might even consider buying into the distressed oil and gas sector. Be warned, however! A risky endeavor such as this requires an abundance of fundamental analysis and healthy skepticism when forecasting future earnings. Such a venture is best left to the boldest among us with the ability to withstand the choppy voyage ahead.</w:t>
      </w:r>
    </w:p>
    <w:p w:rsidR="00FC59B6" w:rsidRPr="00FC59B6" w:rsidRDefault="00FC59B6" w:rsidP="00FC59B6">
      <w:pPr>
        <w:spacing w:after="0"/>
      </w:pPr>
    </w:p>
    <w:p w:rsidR="00FC59B6" w:rsidRDefault="00FC59B6" w:rsidP="00FC59B6">
      <w:r>
        <w:t xml:space="preserve">Some notable names to consider include: </w:t>
      </w:r>
      <w:r w:rsidRPr="00AC057A">
        <w:rPr>
          <w:b/>
        </w:rPr>
        <w:t>Spectra Energy (SE), Kinder Morgan (KMI), Williams Companies (WMB), Boardwalk Pipelines (BWP), and TransCanada Corp. (TRP).</w:t>
      </w:r>
      <w:r>
        <w:t xml:space="preserve"> </w:t>
      </w:r>
    </w:p>
    <w:sectPr w:rsidR="00FC59B6" w:rsidSect="00F008C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134" w:rsidRDefault="00550134" w:rsidP="00C073D6">
      <w:pPr>
        <w:spacing w:after="0" w:line="240" w:lineRule="auto"/>
      </w:pPr>
      <w:r>
        <w:separator/>
      </w:r>
    </w:p>
  </w:endnote>
  <w:endnote w:type="continuationSeparator" w:id="0">
    <w:p w:rsidR="00550134" w:rsidRDefault="00550134" w:rsidP="00C073D6">
      <w:pPr>
        <w:spacing w:after="0" w:line="240" w:lineRule="auto"/>
      </w:pPr>
      <w:r>
        <w:continuationSeparator/>
      </w:r>
    </w:p>
  </w:endnote>
  <w:endnote w:id="1">
    <w:p w:rsidR="001432D2" w:rsidRPr="00CA746B" w:rsidRDefault="001432D2" w:rsidP="001432D2">
      <w:pPr>
        <w:pStyle w:val="byline1"/>
        <w:rPr>
          <w:sz w:val="20"/>
          <w:szCs w:val="20"/>
          <w:lang w:val="en"/>
        </w:rPr>
      </w:pPr>
      <w:r w:rsidRPr="00CA746B">
        <w:rPr>
          <w:rStyle w:val="EndnoteReference"/>
          <w:sz w:val="20"/>
          <w:szCs w:val="20"/>
        </w:rPr>
        <w:endnoteRef/>
      </w:r>
      <w:r w:rsidRPr="00CA746B">
        <w:rPr>
          <w:sz w:val="20"/>
          <w:szCs w:val="20"/>
        </w:rPr>
        <w:t xml:space="preserve"> </w:t>
      </w:r>
      <w:r w:rsidRPr="00CA746B">
        <w:rPr>
          <w:sz w:val="20"/>
          <w:szCs w:val="20"/>
          <w:lang w:val="en"/>
        </w:rPr>
        <w:t>http://www</w:t>
      </w:r>
      <w:bookmarkStart w:id="0" w:name="_GoBack"/>
      <w:bookmarkEnd w:id="0"/>
      <w:r w:rsidRPr="00CA746B">
        <w:rPr>
          <w:sz w:val="20"/>
          <w:szCs w:val="20"/>
          <w:lang w:val="en"/>
        </w:rPr>
        <w:t>.brookings.edu/research/opinions/2016/02/02-stocks-and-the-economy-perry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134" w:rsidRDefault="00550134" w:rsidP="00C073D6">
      <w:pPr>
        <w:spacing w:after="0" w:line="240" w:lineRule="auto"/>
      </w:pPr>
      <w:r>
        <w:separator/>
      </w:r>
    </w:p>
  </w:footnote>
  <w:footnote w:type="continuationSeparator" w:id="0">
    <w:p w:rsidR="00550134" w:rsidRDefault="00550134" w:rsidP="00C073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1926C9"/>
    <w:rsid w:val="00004F76"/>
    <w:rsid w:val="00006C63"/>
    <w:rsid w:val="000077A1"/>
    <w:rsid w:val="00022B4F"/>
    <w:rsid w:val="00023A1F"/>
    <w:rsid w:val="00044105"/>
    <w:rsid w:val="000577B0"/>
    <w:rsid w:val="000668E9"/>
    <w:rsid w:val="000773A3"/>
    <w:rsid w:val="000862BD"/>
    <w:rsid w:val="0008701D"/>
    <w:rsid w:val="0009715B"/>
    <w:rsid w:val="000B2E52"/>
    <w:rsid w:val="000B395E"/>
    <w:rsid w:val="000B6FD0"/>
    <w:rsid w:val="000E1C66"/>
    <w:rsid w:val="000E24C0"/>
    <w:rsid w:val="00104481"/>
    <w:rsid w:val="0010591C"/>
    <w:rsid w:val="00110BE0"/>
    <w:rsid w:val="00122BF0"/>
    <w:rsid w:val="001432D2"/>
    <w:rsid w:val="00143FEF"/>
    <w:rsid w:val="00156BC8"/>
    <w:rsid w:val="001743A9"/>
    <w:rsid w:val="00181995"/>
    <w:rsid w:val="00182437"/>
    <w:rsid w:val="0018439D"/>
    <w:rsid w:val="0019166A"/>
    <w:rsid w:val="001926C9"/>
    <w:rsid w:val="0019354B"/>
    <w:rsid w:val="00194875"/>
    <w:rsid w:val="001A6F2C"/>
    <w:rsid w:val="001B62FC"/>
    <w:rsid w:val="001B6D73"/>
    <w:rsid w:val="001C7200"/>
    <w:rsid w:val="001C77DF"/>
    <w:rsid w:val="001D3B1D"/>
    <w:rsid w:val="001F235A"/>
    <w:rsid w:val="002163A2"/>
    <w:rsid w:val="00216A69"/>
    <w:rsid w:val="00227920"/>
    <w:rsid w:val="00246316"/>
    <w:rsid w:val="002525BC"/>
    <w:rsid w:val="0025548E"/>
    <w:rsid w:val="00281B40"/>
    <w:rsid w:val="002A5874"/>
    <w:rsid w:val="002C61C4"/>
    <w:rsid w:val="002E6F1C"/>
    <w:rsid w:val="002F1FAA"/>
    <w:rsid w:val="00300BE0"/>
    <w:rsid w:val="0030465D"/>
    <w:rsid w:val="00307B0D"/>
    <w:rsid w:val="0031109B"/>
    <w:rsid w:val="003238C0"/>
    <w:rsid w:val="00346CD3"/>
    <w:rsid w:val="003663C7"/>
    <w:rsid w:val="0037108D"/>
    <w:rsid w:val="003729F4"/>
    <w:rsid w:val="0037586B"/>
    <w:rsid w:val="00395CA5"/>
    <w:rsid w:val="003B2710"/>
    <w:rsid w:val="003B32F3"/>
    <w:rsid w:val="003C503E"/>
    <w:rsid w:val="003F42C5"/>
    <w:rsid w:val="004035EA"/>
    <w:rsid w:val="00411F25"/>
    <w:rsid w:val="00412717"/>
    <w:rsid w:val="0042113B"/>
    <w:rsid w:val="00430A38"/>
    <w:rsid w:val="004446F7"/>
    <w:rsid w:val="00455613"/>
    <w:rsid w:val="00455691"/>
    <w:rsid w:val="00455BC6"/>
    <w:rsid w:val="004A0062"/>
    <w:rsid w:val="004C388E"/>
    <w:rsid w:val="004C3CE7"/>
    <w:rsid w:val="004E53DD"/>
    <w:rsid w:val="004F0689"/>
    <w:rsid w:val="004F5C5D"/>
    <w:rsid w:val="00506302"/>
    <w:rsid w:val="00516185"/>
    <w:rsid w:val="0052204A"/>
    <w:rsid w:val="005254E1"/>
    <w:rsid w:val="00526862"/>
    <w:rsid w:val="00547352"/>
    <w:rsid w:val="00550134"/>
    <w:rsid w:val="00550A6F"/>
    <w:rsid w:val="0055204B"/>
    <w:rsid w:val="005547FE"/>
    <w:rsid w:val="005574B7"/>
    <w:rsid w:val="005650DA"/>
    <w:rsid w:val="005653F3"/>
    <w:rsid w:val="0056683C"/>
    <w:rsid w:val="00576275"/>
    <w:rsid w:val="00576701"/>
    <w:rsid w:val="00597548"/>
    <w:rsid w:val="005A20F6"/>
    <w:rsid w:val="005B4232"/>
    <w:rsid w:val="005B50A0"/>
    <w:rsid w:val="005D3F9A"/>
    <w:rsid w:val="005F11A1"/>
    <w:rsid w:val="005F24BE"/>
    <w:rsid w:val="00602959"/>
    <w:rsid w:val="00602B6F"/>
    <w:rsid w:val="00602D4E"/>
    <w:rsid w:val="00605294"/>
    <w:rsid w:val="006133D7"/>
    <w:rsid w:val="00634336"/>
    <w:rsid w:val="006410A5"/>
    <w:rsid w:val="00644B43"/>
    <w:rsid w:val="0065186B"/>
    <w:rsid w:val="00660773"/>
    <w:rsid w:val="00681EE7"/>
    <w:rsid w:val="00694D79"/>
    <w:rsid w:val="00697B5D"/>
    <w:rsid w:val="006C0ED0"/>
    <w:rsid w:val="006C6833"/>
    <w:rsid w:val="006D28EC"/>
    <w:rsid w:val="006F13B4"/>
    <w:rsid w:val="006F37BF"/>
    <w:rsid w:val="007069B8"/>
    <w:rsid w:val="00754246"/>
    <w:rsid w:val="00767E64"/>
    <w:rsid w:val="0077001B"/>
    <w:rsid w:val="0077283D"/>
    <w:rsid w:val="00777B0D"/>
    <w:rsid w:val="007A5341"/>
    <w:rsid w:val="007B1DA8"/>
    <w:rsid w:val="007B4D6E"/>
    <w:rsid w:val="007D14EE"/>
    <w:rsid w:val="007D508F"/>
    <w:rsid w:val="007F482B"/>
    <w:rsid w:val="00804329"/>
    <w:rsid w:val="00811353"/>
    <w:rsid w:val="008144A1"/>
    <w:rsid w:val="00836565"/>
    <w:rsid w:val="008426F2"/>
    <w:rsid w:val="00856AD8"/>
    <w:rsid w:val="00857374"/>
    <w:rsid w:val="0086201D"/>
    <w:rsid w:val="00862861"/>
    <w:rsid w:val="00867BA5"/>
    <w:rsid w:val="00883D95"/>
    <w:rsid w:val="008863C7"/>
    <w:rsid w:val="00893272"/>
    <w:rsid w:val="008A1347"/>
    <w:rsid w:val="008C389F"/>
    <w:rsid w:val="008C430A"/>
    <w:rsid w:val="008D6DAB"/>
    <w:rsid w:val="008E1565"/>
    <w:rsid w:val="008E671C"/>
    <w:rsid w:val="008F0A22"/>
    <w:rsid w:val="008F1502"/>
    <w:rsid w:val="008F3CB8"/>
    <w:rsid w:val="00901924"/>
    <w:rsid w:val="00921391"/>
    <w:rsid w:val="00924B3E"/>
    <w:rsid w:val="00934E7E"/>
    <w:rsid w:val="00935E80"/>
    <w:rsid w:val="00947AF5"/>
    <w:rsid w:val="00950A07"/>
    <w:rsid w:val="009532B5"/>
    <w:rsid w:val="009555BA"/>
    <w:rsid w:val="00962D0B"/>
    <w:rsid w:val="009707D0"/>
    <w:rsid w:val="0097115A"/>
    <w:rsid w:val="009728D7"/>
    <w:rsid w:val="00984650"/>
    <w:rsid w:val="00985508"/>
    <w:rsid w:val="009A48C7"/>
    <w:rsid w:val="009B36E8"/>
    <w:rsid w:val="009C20F7"/>
    <w:rsid w:val="009D1F11"/>
    <w:rsid w:val="009E2F7E"/>
    <w:rsid w:val="009F18C0"/>
    <w:rsid w:val="009F6E56"/>
    <w:rsid w:val="009F7B67"/>
    <w:rsid w:val="00A05690"/>
    <w:rsid w:val="00A06CDF"/>
    <w:rsid w:val="00A23049"/>
    <w:rsid w:val="00A34F01"/>
    <w:rsid w:val="00A40B9C"/>
    <w:rsid w:val="00A42576"/>
    <w:rsid w:val="00A717D1"/>
    <w:rsid w:val="00A84C4D"/>
    <w:rsid w:val="00A94185"/>
    <w:rsid w:val="00AA0FE3"/>
    <w:rsid w:val="00AA69BA"/>
    <w:rsid w:val="00AB22E4"/>
    <w:rsid w:val="00AB34E4"/>
    <w:rsid w:val="00AC057A"/>
    <w:rsid w:val="00AD3FA8"/>
    <w:rsid w:val="00AE43F3"/>
    <w:rsid w:val="00AF18D8"/>
    <w:rsid w:val="00AF58FB"/>
    <w:rsid w:val="00B06F1C"/>
    <w:rsid w:val="00B12020"/>
    <w:rsid w:val="00B173EA"/>
    <w:rsid w:val="00B33494"/>
    <w:rsid w:val="00B335A6"/>
    <w:rsid w:val="00B33A07"/>
    <w:rsid w:val="00B36016"/>
    <w:rsid w:val="00B5107A"/>
    <w:rsid w:val="00B66FA0"/>
    <w:rsid w:val="00B758DB"/>
    <w:rsid w:val="00B82BC0"/>
    <w:rsid w:val="00B83C95"/>
    <w:rsid w:val="00B92C6B"/>
    <w:rsid w:val="00BA067F"/>
    <w:rsid w:val="00BA6062"/>
    <w:rsid w:val="00BC2DF8"/>
    <w:rsid w:val="00BC563E"/>
    <w:rsid w:val="00BE073E"/>
    <w:rsid w:val="00BE7234"/>
    <w:rsid w:val="00C0005C"/>
    <w:rsid w:val="00C04221"/>
    <w:rsid w:val="00C072A3"/>
    <w:rsid w:val="00C073D6"/>
    <w:rsid w:val="00C102E5"/>
    <w:rsid w:val="00C16B52"/>
    <w:rsid w:val="00C22ED5"/>
    <w:rsid w:val="00C23350"/>
    <w:rsid w:val="00C368E9"/>
    <w:rsid w:val="00C436C6"/>
    <w:rsid w:val="00C637B2"/>
    <w:rsid w:val="00C64898"/>
    <w:rsid w:val="00C7210E"/>
    <w:rsid w:val="00C75B6E"/>
    <w:rsid w:val="00C82117"/>
    <w:rsid w:val="00C85B12"/>
    <w:rsid w:val="00C91049"/>
    <w:rsid w:val="00C92C05"/>
    <w:rsid w:val="00C9688F"/>
    <w:rsid w:val="00CA3EF9"/>
    <w:rsid w:val="00CA746B"/>
    <w:rsid w:val="00CC2424"/>
    <w:rsid w:val="00CC6B05"/>
    <w:rsid w:val="00CD2C9B"/>
    <w:rsid w:val="00CE2A89"/>
    <w:rsid w:val="00CE3225"/>
    <w:rsid w:val="00CE664A"/>
    <w:rsid w:val="00CF1A31"/>
    <w:rsid w:val="00CF40F2"/>
    <w:rsid w:val="00D14C8B"/>
    <w:rsid w:val="00D21F6C"/>
    <w:rsid w:val="00D30002"/>
    <w:rsid w:val="00D34769"/>
    <w:rsid w:val="00D34FFB"/>
    <w:rsid w:val="00D5335A"/>
    <w:rsid w:val="00D55ED8"/>
    <w:rsid w:val="00D64101"/>
    <w:rsid w:val="00D6692A"/>
    <w:rsid w:val="00D708E6"/>
    <w:rsid w:val="00D741A9"/>
    <w:rsid w:val="00D8488F"/>
    <w:rsid w:val="00D861E2"/>
    <w:rsid w:val="00D8684C"/>
    <w:rsid w:val="00DB6BBE"/>
    <w:rsid w:val="00DC046E"/>
    <w:rsid w:val="00DC19DC"/>
    <w:rsid w:val="00DD6625"/>
    <w:rsid w:val="00DD7B7A"/>
    <w:rsid w:val="00DE164D"/>
    <w:rsid w:val="00DE2837"/>
    <w:rsid w:val="00DF582D"/>
    <w:rsid w:val="00E02872"/>
    <w:rsid w:val="00E24E6D"/>
    <w:rsid w:val="00E34788"/>
    <w:rsid w:val="00E61251"/>
    <w:rsid w:val="00E62A96"/>
    <w:rsid w:val="00E64ADE"/>
    <w:rsid w:val="00E67C8E"/>
    <w:rsid w:val="00E70CE3"/>
    <w:rsid w:val="00E749A7"/>
    <w:rsid w:val="00E765D6"/>
    <w:rsid w:val="00E77AF4"/>
    <w:rsid w:val="00E84BE0"/>
    <w:rsid w:val="00E86194"/>
    <w:rsid w:val="00E9420F"/>
    <w:rsid w:val="00EC2C3E"/>
    <w:rsid w:val="00EC3FF3"/>
    <w:rsid w:val="00EE5D64"/>
    <w:rsid w:val="00EF0B53"/>
    <w:rsid w:val="00EF246C"/>
    <w:rsid w:val="00EF5790"/>
    <w:rsid w:val="00F008CC"/>
    <w:rsid w:val="00F03FDC"/>
    <w:rsid w:val="00F0419F"/>
    <w:rsid w:val="00F12982"/>
    <w:rsid w:val="00F2013A"/>
    <w:rsid w:val="00F26692"/>
    <w:rsid w:val="00F54E67"/>
    <w:rsid w:val="00F65AD6"/>
    <w:rsid w:val="00F65FD2"/>
    <w:rsid w:val="00F6614B"/>
    <w:rsid w:val="00F66B45"/>
    <w:rsid w:val="00F742E9"/>
    <w:rsid w:val="00F7467D"/>
    <w:rsid w:val="00F76006"/>
    <w:rsid w:val="00F77E11"/>
    <w:rsid w:val="00F939CE"/>
    <w:rsid w:val="00F96A24"/>
    <w:rsid w:val="00FA51F9"/>
    <w:rsid w:val="00FB22A7"/>
    <w:rsid w:val="00FC59B6"/>
    <w:rsid w:val="00FD15F5"/>
    <w:rsid w:val="00FD1913"/>
    <w:rsid w:val="00FD79B0"/>
    <w:rsid w:val="00FE1B9A"/>
    <w:rsid w:val="00FE6CDD"/>
    <w:rsid w:val="00FF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FEFEA-23DC-4DFE-8E74-E34EEF34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395E"/>
    <w:pPr>
      <w:pBdr>
        <w:bottom w:val="single" w:sz="6" w:space="11" w:color="B6C8D1"/>
      </w:pBdr>
      <w:spacing w:before="108" w:after="0" w:line="240" w:lineRule="auto"/>
      <w:outlineLvl w:val="0"/>
    </w:pPr>
    <w:rPr>
      <w:rFonts w:ascii="Arial" w:eastAsia="Times New Roman" w:hAnsi="Arial" w:cs="Arial"/>
      <w:b/>
      <w:bCs/>
      <w:color w:val="393939"/>
      <w:kern w:val="36"/>
      <w:sz w:val="42"/>
      <w:szCs w:val="42"/>
    </w:rPr>
  </w:style>
  <w:style w:type="paragraph" w:styleId="Heading2">
    <w:name w:val="heading 2"/>
    <w:basedOn w:val="Normal"/>
    <w:next w:val="Normal"/>
    <w:link w:val="Heading2Char"/>
    <w:uiPriority w:val="9"/>
    <w:semiHidden/>
    <w:unhideWhenUsed/>
    <w:qFormat/>
    <w:rsid w:val="00FD15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15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6C9"/>
    <w:rPr>
      <w:rFonts w:ascii="Tahoma" w:hAnsi="Tahoma" w:cs="Tahoma"/>
      <w:sz w:val="16"/>
      <w:szCs w:val="16"/>
    </w:rPr>
  </w:style>
  <w:style w:type="character" w:styleId="Hyperlink">
    <w:name w:val="Hyperlink"/>
    <w:basedOn w:val="DefaultParagraphFont"/>
    <w:uiPriority w:val="99"/>
    <w:unhideWhenUsed/>
    <w:rsid w:val="001926C9"/>
    <w:rPr>
      <w:color w:val="0000FF" w:themeColor="hyperlink"/>
      <w:u w:val="single"/>
    </w:rPr>
  </w:style>
  <w:style w:type="character" w:customStyle="1" w:styleId="Heading1Char">
    <w:name w:val="Heading 1 Char"/>
    <w:basedOn w:val="DefaultParagraphFont"/>
    <w:link w:val="Heading1"/>
    <w:uiPriority w:val="9"/>
    <w:rsid w:val="000B395E"/>
    <w:rPr>
      <w:rFonts w:ascii="Arial" w:eastAsia="Times New Roman" w:hAnsi="Arial" w:cs="Arial"/>
      <w:b/>
      <w:bCs/>
      <w:color w:val="393939"/>
      <w:kern w:val="36"/>
      <w:sz w:val="42"/>
      <w:szCs w:val="42"/>
    </w:rPr>
  </w:style>
  <w:style w:type="character" w:styleId="Emphasis">
    <w:name w:val="Emphasis"/>
    <w:basedOn w:val="DefaultParagraphFont"/>
    <w:uiPriority w:val="20"/>
    <w:qFormat/>
    <w:rsid w:val="000B395E"/>
    <w:rPr>
      <w:i/>
      <w:iCs/>
    </w:rPr>
  </w:style>
  <w:style w:type="character" w:styleId="Strong">
    <w:name w:val="Strong"/>
    <w:basedOn w:val="DefaultParagraphFont"/>
    <w:uiPriority w:val="22"/>
    <w:qFormat/>
    <w:rsid w:val="000B395E"/>
    <w:rPr>
      <w:b/>
      <w:bCs/>
    </w:rPr>
  </w:style>
  <w:style w:type="paragraph" w:styleId="NormalWeb">
    <w:name w:val="Normal (Web)"/>
    <w:basedOn w:val="Normal"/>
    <w:uiPriority w:val="99"/>
    <w:semiHidden/>
    <w:unhideWhenUsed/>
    <w:rsid w:val="000B395E"/>
    <w:pPr>
      <w:spacing w:after="240" w:line="240" w:lineRule="auto"/>
    </w:pPr>
    <w:rPr>
      <w:rFonts w:ascii="Times New Roman" w:eastAsia="Times New Roman" w:hAnsi="Times New Roman" w:cs="Times New Roman"/>
      <w:sz w:val="24"/>
      <w:szCs w:val="24"/>
    </w:rPr>
  </w:style>
  <w:style w:type="character" w:customStyle="1" w:styleId="comments1">
    <w:name w:val="comments1"/>
    <w:basedOn w:val="DefaultParagraphFont"/>
    <w:rsid w:val="000B395E"/>
    <w:rPr>
      <w:sz w:val="22"/>
      <w:szCs w:val="22"/>
    </w:rPr>
  </w:style>
  <w:style w:type="character" w:customStyle="1" w:styleId="meta-date2">
    <w:name w:val="meta-date2"/>
    <w:basedOn w:val="DefaultParagraphFont"/>
    <w:rsid w:val="000B395E"/>
  </w:style>
  <w:style w:type="character" w:customStyle="1" w:styleId="Heading2Char">
    <w:name w:val="Heading 2 Char"/>
    <w:basedOn w:val="DefaultParagraphFont"/>
    <w:link w:val="Heading2"/>
    <w:uiPriority w:val="9"/>
    <w:semiHidden/>
    <w:rsid w:val="00FD15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15F5"/>
    <w:rPr>
      <w:rFonts w:asciiTheme="majorHAnsi" w:eastAsiaTheme="majorEastAsia" w:hAnsiTheme="majorHAnsi" w:cstheme="majorBidi"/>
      <w:b/>
      <w:bCs/>
      <w:color w:val="4F81BD" w:themeColor="accent1"/>
    </w:rPr>
  </w:style>
  <w:style w:type="paragraph" w:customStyle="1" w:styleId="metadata">
    <w:name w:val="metadata"/>
    <w:basedOn w:val="Normal"/>
    <w:rsid w:val="003238C0"/>
    <w:pPr>
      <w:spacing w:after="240" w:line="240" w:lineRule="auto"/>
    </w:pPr>
    <w:rPr>
      <w:rFonts w:ascii="Arial" w:eastAsia="Times New Roman" w:hAnsi="Arial" w:cs="Arial"/>
      <w:color w:val="666666"/>
      <w:sz w:val="21"/>
      <w:szCs w:val="21"/>
    </w:rPr>
  </w:style>
  <w:style w:type="paragraph" w:customStyle="1" w:styleId="byline1">
    <w:name w:val="byline1"/>
    <w:basedOn w:val="Normal"/>
    <w:rsid w:val="003238C0"/>
    <w:pPr>
      <w:spacing w:after="285" w:line="240" w:lineRule="auto"/>
    </w:pPr>
    <w:rPr>
      <w:rFonts w:ascii="Arial" w:eastAsia="Times New Roman" w:hAnsi="Arial" w:cs="Arial"/>
      <w:color w:val="666666"/>
      <w:sz w:val="23"/>
      <w:szCs w:val="23"/>
    </w:rPr>
  </w:style>
  <w:style w:type="character" w:customStyle="1" w:styleId="moresharing1">
    <w:name w:val="moresharing1"/>
    <w:basedOn w:val="DefaultParagraphFont"/>
    <w:rsid w:val="003238C0"/>
    <w:rPr>
      <w:vanish/>
      <w:webHidden w:val="0"/>
      <w:specVanish w:val="0"/>
    </w:rPr>
  </w:style>
  <w:style w:type="character" w:customStyle="1" w:styleId="article-type3">
    <w:name w:val="article-type3"/>
    <w:basedOn w:val="DefaultParagraphFont"/>
    <w:rsid w:val="003238C0"/>
    <w:rPr>
      <w:sz w:val="21"/>
      <w:szCs w:val="21"/>
    </w:rPr>
  </w:style>
  <w:style w:type="character" w:customStyle="1" w:styleId="divider3">
    <w:name w:val="divider3"/>
    <w:basedOn w:val="DefaultParagraphFont"/>
    <w:rsid w:val="003238C0"/>
    <w:rPr>
      <w:color w:val="666666"/>
    </w:rPr>
  </w:style>
  <w:style w:type="character" w:customStyle="1" w:styleId="date22">
    <w:name w:val="date22"/>
    <w:basedOn w:val="DefaultParagraphFont"/>
    <w:rsid w:val="003238C0"/>
    <w:rPr>
      <w:rFonts w:ascii="Arial" w:hAnsi="Arial" w:cs="Arial" w:hint="default"/>
      <w:color w:val="666666"/>
      <w:sz w:val="21"/>
      <w:szCs w:val="21"/>
    </w:rPr>
  </w:style>
  <w:style w:type="character" w:customStyle="1" w:styleId="addthismorebrookings">
    <w:name w:val="addthis_more_brookings"/>
    <w:basedOn w:val="DefaultParagraphFont"/>
    <w:rsid w:val="003238C0"/>
  </w:style>
  <w:style w:type="paragraph" w:styleId="EndnoteText">
    <w:name w:val="endnote text"/>
    <w:basedOn w:val="Normal"/>
    <w:link w:val="EndnoteTextChar"/>
    <w:uiPriority w:val="99"/>
    <w:semiHidden/>
    <w:unhideWhenUsed/>
    <w:rsid w:val="00C07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73D6"/>
    <w:rPr>
      <w:sz w:val="20"/>
      <w:szCs w:val="20"/>
    </w:rPr>
  </w:style>
  <w:style w:type="character" w:styleId="EndnoteReference">
    <w:name w:val="endnote reference"/>
    <w:basedOn w:val="DefaultParagraphFont"/>
    <w:uiPriority w:val="99"/>
    <w:semiHidden/>
    <w:unhideWhenUsed/>
    <w:rsid w:val="00C073D6"/>
    <w:rPr>
      <w:vertAlign w:val="superscript"/>
    </w:rPr>
  </w:style>
  <w:style w:type="paragraph" w:styleId="Header">
    <w:name w:val="header"/>
    <w:basedOn w:val="Normal"/>
    <w:link w:val="HeaderChar"/>
    <w:uiPriority w:val="99"/>
    <w:unhideWhenUsed/>
    <w:rsid w:val="008E6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71C"/>
  </w:style>
  <w:style w:type="paragraph" w:styleId="Footer">
    <w:name w:val="footer"/>
    <w:basedOn w:val="Normal"/>
    <w:link w:val="FooterChar"/>
    <w:uiPriority w:val="99"/>
    <w:unhideWhenUsed/>
    <w:rsid w:val="008E6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4898">
      <w:bodyDiv w:val="1"/>
      <w:marLeft w:val="0"/>
      <w:marRight w:val="0"/>
      <w:marTop w:val="0"/>
      <w:marBottom w:val="0"/>
      <w:divBdr>
        <w:top w:val="none" w:sz="0" w:space="0" w:color="auto"/>
        <w:left w:val="none" w:sz="0" w:space="0" w:color="auto"/>
        <w:bottom w:val="none" w:sz="0" w:space="0" w:color="auto"/>
        <w:right w:val="none" w:sz="0" w:space="0" w:color="auto"/>
      </w:divBdr>
      <w:divsChild>
        <w:div w:id="2048336475">
          <w:marLeft w:val="0"/>
          <w:marRight w:val="0"/>
          <w:marTop w:val="0"/>
          <w:marBottom w:val="0"/>
          <w:divBdr>
            <w:top w:val="none" w:sz="0" w:space="0" w:color="auto"/>
            <w:left w:val="none" w:sz="0" w:space="0" w:color="auto"/>
            <w:bottom w:val="none" w:sz="0" w:space="0" w:color="auto"/>
            <w:right w:val="none" w:sz="0" w:space="0" w:color="auto"/>
          </w:divBdr>
          <w:divsChild>
            <w:div w:id="688063645">
              <w:marLeft w:val="0"/>
              <w:marRight w:val="0"/>
              <w:marTop w:val="0"/>
              <w:marBottom w:val="0"/>
              <w:divBdr>
                <w:top w:val="none" w:sz="0" w:space="0" w:color="auto"/>
                <w:left w:val="none" w:sz="0" w:space="0" w:color="auto"/>
                <w:bottom w:val="none" w:sz="0" w:space="0" w:color="auto"/>
                <w:right w:val="none" w:sz="0" w:space="0" w:color="auto"/>
              </w:divBdr>
              <w:divsChild>
                <w:div w:id="1548909207">
                  <w:marLeft w:val="0"/>
                  <w:marRight w:val="0"/>
                  <w:marTop w:val="0"/>
                  <w:marBottom w:val="0"/>
                  <w:divBdr>
                    <w:top w:val="none" w:sz="0" w:space="0" w:color="auto"/>
                    <w:left w:val="none" w:sz="0" w:space="0" w:color="auto"/>
                    <w:bottom w:val="none" w:sz="0" w:space="0" w:color="auto"/>
                    <w:right w:val="none" w:sz="0" w:space="0" w:color="auto"/>
                  </w:divBdr>
                  <w:divsChild>
                    <w:div w:id="1135566757">
                      <w:marLeft w:val="0"/>
                      <w:marRight w:val="0"/>
                      <w:marTop w:val="0"/>
                      <w:marBottom w:val="0"/>
                      <w:divBdr>
                        <w:top w:val="none" w:sz="0" w:space="0" w:color="auto"/>
                        <w:left w:val="none" w:sz="0" w:space="0" w:color="auto"/>
                        <w:bottom w:val="none" w:sz="0" w:space="0" w:color="auto"/>
                        <w:right w:val="none" w:sz="0" w:space="0" w:color="auto"/>
                      </w:divBdr>
                      <w:divsChild>
                        <w:div w:id="182675916">
                          <w:marLeft w:val="0"/>
                          <w:marRight w:val="0"/>
                          <w:marTop w:val="0"/>
                          <w:marBottom w:val="0"/>
                          <w:divBdr>
                            <w:top w:val="none" w:sz="0" w:space="0" w:color="auto"/>
                            <w:left w:val="none" w:sz="0" w:space="0" w:color="auto"/>
                            <w:bottom w:val="none" w:sz="0" w:space="0" w:color="auto"/>
                            <w:right w:val="none" w:sz="0" w:space="0" w:color="auto"/>
                          </w:divBdr>
                        </w:div>
                        <w:div w:id="1407535741">
                          <w:marLeft w:val="0"/>
                          <w:marRight w:val="0"/>
                          <w:marTop w:val="0"/>
                          <w:marBottom w:val="0"/>
                          <w:divBdr>
                            <w:top w:val="none" w:sz="0" w:space="0" w:color="auto"/>
                            <w:left w:val="none" w:sz="0" w:space="0" w:color="auto"/>
                            <w:bottom w:val="none" w:sz="0" w:space="0" w:color="auto"/>
                            <w:right w:val="none" w:sz="0" w:space="0" w:color="auto"/>
                          </w:divBdr>
                          <w:divsChild>
                            <w:div w:id="863204536">
                              <w:marLeft w:val="0"/>
                              <w:marRight w:val="0"/>
                              <w:marTop w:val="0"/>
                              <w:marBottom w:val="0"/>
                              <w:divBdr>
                                <w:top w:val="none" w:sz="0" w:space="0" w:color="auto"/>
                                <w:left w:val="none" w:sz="0" w:space="0" w:color="auto"/>
                                <w:bottom w:val="none" w:sz="0" w:space="0" w:color="auto"/>
                                <w:right w:val="none" w:sz="0" w:space="0" w:color="auto"/>
                              </w:divBdr>
                              <w:divsChild>
                                <w:div w:id="1571231269">
                                  <w:marLeft w:val="0"/>
                                  <w:marRight w:val="0"/>
                                  <w:marTop w:val="0"/>
                                  <w:marBottom w:val="0"/>
                                  <w:divBdr>
                                    <w:top w:val="none" w:sz="0" w:space="0" w:color="auto"/>
                                    <w:left w:val="none" w:sz="0" w:space="0" w:color="auto"/>
                                    <w:bottom w:val="none" w:sz="0" w:space="0" w:color="auto"/>
                                    <w:right w:val="none" w:sz="0" w:space="0" w:color="auto"/>
                                  </w:divBdr>
                                </w:div>
                                <w:div w:id="1599830890">
                                  <w:marLeft w:val="0"/>
                                  <w:marRight w:val="0"/>
                                  <w:marTop w:val="0"/>
                                  <w:marBottom w:val="0"/>
                                  <w:divBdr>
                                    <w:top w:val="none" w:sz="0" w:space="0" w:color="auto"/>
                                    <w:left w:val="none" w:sz="0" w:space="0" w:color="auto"/>
                                    <w:bottom w:val="none" w:sz="0" w:space="0" w:color="auto"/>
                                    <w:right w:val="none" w:sz="0" w:space="0" w:color="auto"/>
                                  </w:divBdr>
                                  <w:divsChild>
                                    <w:div w:id="869993488">
                                      <w:marLeft w:val="0"/>
                                      <w:marRight w:val="0"/>
                                      <w:marTop w:val="0"/>
                                      <w:marBottom w:val="0"/>
                                      <w:divBdr>
                                        <w:top w:val="none" w:sz="0" w:space="0" w:color="auto"/>
                                        <w:left w:val="none" w:sz="0" w:space="0" w:color="auto"/>
                                        <w:bottom w:val="none" w:sz="0" w:space="0" w:color="auto"/>
                                        <w:right w:val="none" w:sz="0" w:space="0" w:color="auto"/>
                                      </w:divBdr>
                                      <w:divsChild>
                                        <w:div w:id="551624280">
                                          <w:marLeft w:val="0"/>
                                          <w:marRight w:val="0"/>
                                          <w:marTop w:val="150"/>
                                          <w:marBottom w:val="150"/>
                                          <w:divBdr>
                                            <w:top w:val="none" w:sz="0" w:space="0" w:color="auto"/>
                                            <w:left w:val="single" w:sz="24" w:space="11" w:color="DB261B"/>
                                            <w:bottom w:val="none" w:sz="0" w:space="0" w:color="auto"/>
                                            <w:right w:val="none" w:sz="0" w:space="0" w:color="auto"/>
                                          </w:divBdr>
                                        </w:div>
                                      </w:divsChild>
                                    </w:div>
                                  </w:divsChild>
                                </w:div>
                              </w:divsChild>
                            </w:div>
                          </w:divsChild>
                        </w:div>
                      </w:divsChild>
                    </w:div>
                  </w:divsChild>
                </w:div>
              </w:divsChild>
            </w:div>
          </w:divsChild>
        </w:div>
      </w:divsChild>
    </w:div>
    <w:div w:id="335496828">
      <w:bodyDiv w:val="1"/>
      <w:marLeft w:val="0"/>
      <w:marRight w:val="0"/>
      <w:marTop w:val="72"/>
      <w:marBottom w:val="0"/>
      <w:divBdr>
        <w:top w:val="none" w:sz="0" w:space="0" w:color="auto"/>
        <w:left w:val="none" w:sz="0" w:space="0" w:color="auto"/>
        <w:bottom w:val="none" w:sz="0" w:space="0" w:color="auto"/>
        <w:right w:val="none" w:sz="0" w:space="0" w:color="auto"/>
      </w:divBdr>
      <w:divsChild>
        <w:div w:id="995961633">
          <w:marLeft w:val="0"/>
          <w:marRight w:val="0"/>
          <w:marTop w:val="0"/>
          <w:marBottom w:val="0"/>
          <w:divBdr>
            <w:top w:val="none" w:sz="0" w:space="0" w:color="auto"/>
            <w:left w:val="none" w:sz="0" w:space="0" w:color="auto"/>
            <w:bottom w:val="none" w:sz="0" w:space="0" w:color="auto"/>
            <w:right w:val="none" w:sz="0" w:space="0" w:color="auto"/>
          </w:divBdr>
          <w:divsChild>
            <w:div w:id="687023141">
              <w:marLeft w:val="3270"/>
              <w:marRight w:val="0"/>
              <w:marTop w:val="0"/>
              <w:marBottom w:val="0"/>
              <w:divBdr>
                <w:top w:val="none" w:sz="0" w:space="0" w:color="auto"/>
                <w:left w:val="none" w:sz="0" w:space="0" w:color="auto"/>
                <w:bottom w:val="none" w:sz="0" w:space="0" w:color="auto"/>
                <w:right w:val="none" w:sz="0" w:space="0" w:color="auto"/>
              </w:divBdr>
              <w:divsChild>
                <w:div w:id="1704749868">
                  <w:marLeft w:val="120"/>
                  <w:marRight w:val="0"/>
                  <w:marTop w:val="120"/>
                  <w:marBottom w:val="0"/>
                  <w:divBdr>
                    <w:top w:val="none" w:sz="0" w:space="0" w:color="auto"/>
                    <w:left w:val="none" w:sz="0" w:space="0" w:color="auto"/>
                    <w:bottom w:val="none" w:sz="0" w:space="0" w:color="auto"/>
                    <w:right w:val="none" w:sz="0" w:space="0" w:color="auto"/>
                  </w:divBdr>
                  <w:divsChild>
                    <w:div w:id="20597327">
                      <w:marLeft w:val="0"/>
                      <w:marRight w:val="0"/>
                      <w:marTop w:val="0"/>
                      <w:marBottom w:val="0"/>
                      <w:divBdr>
                        <w:top w:val="none" w:sz="0" w:space="0" w:color="auto"/>
                        <w:left w:val="none" w:sz="0" w:space="0" w:color="auto"/>
                        <w:bottom w:val="none" w:sz="0" w:space="0" w:color="auto"/>
                        <w:right w:val="none" w:sz="0" w:space="0" w:color="auto"/>
                      </w:divBdr>
                      <w:divsChild>
                        <w:div w:id="14459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2354">
      <w:bodyDiv w:val="1"/>
      <w:marLeft w:val="0"/>
      <w:marRight w:val="0"/>
      <w:marTop w:val="0"/>
      <w:marBottom w:val="0"/>
      <w:divBdr>
        <w:top w:val="none" w:sz="0" w:space="0" w:color="auto"/>
        <w:left w:val="none" w:sz="0" w:space="0" w:color="auto"/>
        <w:bottom w:val="none" w:sz="0" w:space="0" w:color="auto"/>
        <w:right w:val="none" w:sz="0" w:space="0" w:color="auto"/>
      </w:divBdr>
      <w:divsChild>
        <w:div w:id="1329482578">
          <w:marLeft w:val="0"/>
          <w:marRight w:val="0"/>
          <w:marTop w:val="0"/>
          <w:marBottom w:val="0"/>
          <w:divBdr>
            <w:top w:val="none" w:sz="0" w:space="0" w:color="auto"/>
            <w:left w:val="none" w:sz="0" w:space="0" w:color="auto"/>
            <w:bottom w:val="none" w:sz="0" w:space="0" w:color="auto"/>
            <w:right w:val="none" w:sz="0" w:space="0" w:color="auto"/>
          </w:divBdr>
          <w:divsChild>
            <w:div w:id="638148426">
              <w:marLeft w:val="0"/>
              <w:marRight w:val="0"/>
              <w:marTop w:val="0"/>
              <w:marBottom w:val="0"/>
              <w:divBdr>
                <w:top w:val="none" w:sz="0" w:space="0" w:color="auto"/>
                <w:left w:val="none" w:sz="0" w:space="0" w:color="auto"/>
                <w:bottom w:val="none" w:sz="0" w:space="0" w:color="auto"/>
                <w:right w:val="none" w:sz="0" w:space="0" w:color="auto"/>
              </w:divBdr>
              <w:divsChild>
                <w:div w:id="1128665720">
                  <w:marLeft w:val="0"/>
                  <w:marRight w:val="0"/>
                  <w:marTop w:val="0"/>
                  <w:marBottom w:val="0"/>
                  <w:divBdr>
                    <w:top w:val="none" w:sz="0" w:space="0" w:color="auto"/>
                    <w:left w:val="none" w:sz="0" w:space="0" w:color="auto"/>
                    <w:bottom w:val="none" w:sz="0" w:space="0" w:color="auto"/>
                    <w:right w:val="none" w:sz="0" w:space="0" w:color="auto"/>
                  </w:divBdr>
                  <w:divsChild>
                    <w:div w:id="1895653164">
                      <w:marLeft w:val="0"/>
                      <w:marRight w:val="0"/>
                      <w:marTop w:val="0"/>
                      <w:marBottom w:val="0"/>
                      <w:divBdr>
                        <w:top w:val="none" w:sz="0" w:space="0" w:color="auto"/>
                        <w:left w:val="none" w:sz="0" w:space="0" w:color="auto"/>
                        <w:bottom w:val="none" w:sz="0" w:space="0" w:color="auto"/>
                        <w:right w:val="none" w:sz="0" w:space="0" w:color="auto"/>
                      </w:divBdr>
                      <w:divsChild>
                        <w:div w:id="1326740227">
                          <w:marLeft w:val="0"/>
                          <w:marRight w:val="0"/>
                          <w:marTop w:val="0"/>
                          <w:marBottom w:val="0"/>
                          <w:divBdr>
                            <w:top w:val="none" w:sz="0" w:space="0" w:color="auto"/>
                            <w:left w:val="none" w:sz="0" w:space="0" w:color="auto"/>
                            <w:bottom w:val="none" w:sz="0" w:space="0" w:color="auto"/>
                            <w:right w:val="none" w:sz="0" w:space="0" w:color="auto"/>
                          </w:divBdr>
                          <w:divsChild>
                            <w:div w:id="945501787">
                              <w:marLeft w:val="0"/>
                              <w:marRight w:val="0"/>
                              <w:marTop w:val="0"/>
                              <w:marBottom w:val="150"/>
                              <w:divBdr>
                                <w:top w:val="single" w:sz="6" w:space="0" w:color="EBEBEB"/>
                                <w:left w:val="single" w:sz="2" w:space="0" w:color="EBEBEB"/>
                                <w:bottom w:val="single" w:sz="6" w:space="0" w:color="EBEBEB"/>
                                <w:right w:val="single" w:sz="2" w:space="0" w:color="EBEBEB"/>
                              </w:divBdr>
                              <w:divsChild>
                                <w:div w:id="19775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4430">
                          <w:marLeft w:val="0"/>
                          <w:marRight w:val="0"/>
                          <w:marTop w:val="0"/>
                          <w:marBottom w:val="0"/>
                          <w:divBdr>
                            <w:top w:val="none" w:sz="0" w:space="0" w:color="auto"/>
                            <w:left w:val="none" w:sz="0" w:space="0" w:color="auto"/>
                            <w:bottom w:val="none" w:sz="0" w:space="0" w:color="auto"/>
                            <w:right w:val="none" w:sz="0" w:space="0" w:color="auto"/>
                          </w:divBdr>
                          <w:divsChild>
                            <w:div w:id="19672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840242">
      <w:bodyDiv w:val="1"/>
      <w:marLeft w:val="0"/>
      <w:marRight w:val="0"/>
      <w:marTop w:val="0"/>
      <w:marBottom w:val="0"/>
      <w:divBdr>
        <w:top w:val="none" w:sz="0" w:space="0" w:color="auto"/>
        <w:left w:val="none" w:sz="0" w:space="0" w:color="auto"/>
        <w:bottom w:val="none" w:sz="0" w:space="0" w:color="auto"/>
        <w:right w:val="none" w:sz="0" w:space="0" w:color="auto"/>
      </w:divBdr>
      <w:divsChild>
        <w:div w:id="204925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ECF4-36D9-4698-922F-4BE3BC6F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Clark</dc:creator>
  <cp:lastModifiedBy>Clark, Marcia</cp:lastModifiedBy>
  <cp:revision>2</cp:revision>
  <dcterms:created xsi:type="dcterms:W3CDTF">2016-02-17T21:54:00Z</dcterms:created>
  <dcterms:modified xsi:type="dcterms:W3CDTF">2016-02-17T21:54:00Z</dcterms:modified>
</cp:coreProperties>
</file>