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5437F3" w14:textId="77777777" w:rsidR="00C040B4" w:rsidRPr="00D54DD5" w:rsidRDefault="00C040B4" w:rsidP="00C040B4">
      <w:pPr>
        <w:rPr>
          <w:b/>
          <w:caps/>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6588"/>
      </w:tblGrid>
      <w:tr w:rsidR="00C040B4" w:rsidRPr="00D5662F" w14:paraId="0CF04875" w14:textId="77777777">
        <w:tc>
          <w:tcPr>
            <w:tcW w:w="2268" w:type="dxa"/>
            <w:shd w:val="clear" w:color="auto" w:fill="D9D9D9"/>
          </w:tcPr>
          <w:p w14:paraId="61F33214" w14:textId="77777777" w:rsidR="00C040B4" w:rsidRPr="00D5662F" w:rsidRDefault="00C040B4" w:rsidP="006376EC">
            <w:r w:rsidRPr="00D5662F">
              <w:t>Project</w:t>
            </w:r>
          </w:p>
        </w:tc>
        <w:tc>
          <w:tcPr>
            <w:tcW w:w="6588" w:type="dxa"/>
          </w:tcPr>
          <w:p w14:paraId="49D50A13" w14:textId="77777777" w:rsidR="00C040B4" w:rsidRPr="00AA2C2A" w:rsidRDefault="00DF4EAF" w:rsidP="00B340E8">
            <w:pPr>
              <w:rPr>
                <w:rFonts w:cs="Arial"/>
              </w:rPr>
            </w:pPr>
            <w:r>
              <w:rPr>
                <w:rFonts w:cs="Arial"/>
              </w:rPr>
              <w:t xml:space="preserve">Trading Insights: </w:t>
            </w:r>
            <w:r w:rsidR="004A1A20">
              <w:rPr>
                <w:rFonts w:cs="Arial"/>
              </w:rPr>
              <w:t>Strategies for Dealing with</w:t>
            </w:r>
            <w:r w:rsidR="00756208">
              <w:rPr>
                <w:rFonts w:cs="Arial"/>
              </w:rPr>
              <w:t xml:space="preserve"> Rising Interest Rates</w:t>
            </w:r>
          </w:p>
        </w:tc>
      </w:tr>
      <w:tr w:rsidR="00C040B4" w:rsidRPr="00D5662F" w14:paraId="7CC9F221" w14:textId="77777777">
        <w:tc>
          <w:tcPr>
            <w:tcW w:w="2268" w:type="dxa"/>
            <w:shd w:val="clear" w:color="auto" w:fill="D9D9D9"/>
          </w:tcPr>
          <w:p w14:paraId="791863E7" w14:textId="77777777" w:rsidR="00C040B4" w:rsidRPr="00D5662F" w:rsidRDefault="00C040B4" w:rsidP="006376EC">
            <w:r w:rsidRPr="00D5662F">
              <w:t>Client</w:t>
            </w:r>
          </w:p>
        </w:tc>
        <w:tc>
          <w:tcPr>
            <w:tcW w:w="6588" w:type="dxa"/>
          </w:tcPr>
          <w:p w14:paraId="37BD85FC" w14:textId="77777777" w:rsidR="00C040B4" w:rsidRPr="00A42AB1" w:rsidRDefault="007F5BC9" w:rsidP="006376EC">
            <w:r w:rsidRPr="00A42AB1">
              <w:t>Adrianne Muscanere</w:t>
            </w:r>
          </w:p>
        </w:tc>
      </w:tr>
      <w:tr w:rsidR="00C040B4" w:rsidRPr="00D5662F" w14:paraId="4CDCE5AC" w14:textId="77777777">
        <w:tc>
          <w:tcPr>
            <w:tcW w:w="2268" w:type="dxa"/>
            <w:shd w:val="clear" w:color="auto" w:fill="D9D9D9"/>
          </w:tcPr>
          <w:p w14:paraId="6A5AD72B" w14:textId="77777777" w:rsidR="00C040B4" w:rsidRPr="00D5662F" w:rsidRDefault="00C040B4" w:rsidP="006376EC">
            <w:r w:rsidRPr="00D5662F">
              <w:t>Date</w:t>
            </w:r>
          </w:p>
        </w:tc>
        <w:tc>
          <w:tcPr>
            <w:tcW w:w="6588" w:type="dxa"/>
          </w:tcPr>
          <w:p w14:paraId="39FD7E23" w14:textId="77777777" w:rsidR="00C040B4" w:rsidRPr="00A42AB1" w:rsidRDefault="00677DA6" w:rsidP="00677DA6">
            <w:r>
              <w:t>November 4</w:t>
            </w:r>
            <w:r w:rsidR="00DB13DB">
              <w:t>, 2015</w:t>
            </w:r>
          </w:p>
        </w:tc>
      </w:tr>
    </w:tbl>
    <w:p w14:paraId="5163D2F9" w14:textId="77777777" w:rsidR="003E240C" w:rsidRDefault="003E240C" w:rsidP="003E240C">
      <w:pPr>
        <w:spacing w:line="280" w:lineRule="atLeast"/>
        <w:outlineLvl w:val="0"/>
        <w:rPr>
          <w:rFonts w:cs="Arial"/>
          <w:b/>
          <w:color w:val="000000"/>
          <w:sz w:val="30"/>
        </w:rPr>
      </w:pPr>
    </w:p>
    <w:p w14:paraId="7DA16BFA" w14:textId="77777777" w:rsidR="00F84C6F" w:rsidRDefault="00F84C6F" w:rsidP="00F84C6F">
      <w:pPr>
        <w:rPr>
          <w:b/>
          <w:color w:val="9B9B9B"/>
          <w:sz w:val="20"/>
          <w:u w:val="single"/>
        </w:rPr>
      </w:pPr>
      <w:r>
        <w:rPr>
          <w:b/>
          <w:color w:val="9B9B9B"/>
          <w:sz w:val="20"/>
          <w:u w:val="single"/>
        </w:rPr>
        <w:t>Existing Article</w:t>
      </w:r>
    </w:p>
    <w:p w14:paraId="34B847A3" w14:textId="77777777" w:rsidR="003E240C" w:rsidRPr="008E0FB7" w:rsidRDefault="003E6921" w:rsidP="00F84C6F">
      <w:pPr>
        <w:spacing w:line="280" w:lineRule="atLeast"/>
        <w:outlineLvl w:val="0"/>
        <w:rPr>
          <w:rFonts w:cs="Arial"/>
        </w:rPr>
      </w:pPr>
      <w:hyperlink r:id="rId9" w:history="1">
        <w:r w:rsidR="008E0FB7" w:rsidRPr="008E0FB7">
          <w:rPr>
            <w:rStyle w:val="Hyperlink"/>
            <w:rFonts w:cs="Arial"/>
            <w:color w:val="auto"/>
            <w:u w:val="none"/>
          </w:rPr>
          <w:t>N/A</w:t>
        </w:r>
      </w:hyperlink>
    </w:p>
    <w:p w14:paraId="1CA10EC2" w14:textId="77777777" w:rsidR="00F84C6F" w:rsidRDefault="00F84C6F" w:rsidP="00F84C6F">
      <w:pPr>
        <w:spacing w:line="280" w:lineRule="atLeast"/>
        <w:outlineLvl w:val="0"/>
        <w:rPr>
          <w:rFonts w:cs="Arial"/>
        </w:rPr>
      </w:pPr>
    </w:p>
    <w:p w14:paraId="69BFFA72" w14:textId="77777777" w:rsidR="00F84C6F" w:rsidRDefault="00F84C6F" w:rsidP="00F84C6F">
      <w:pPr>
        <w:rPr>
          <w:b/>
          <w:color w:val="9B9B9B"/>
          <w:sz w:val="20"/>
          <w:u w:val="single"/>
        </w:rPr>
      </w:pPr>
      <w:r>
        <w:rPr>
          <w:b/>
          <w:color w:val="9B9B9B"/>
          <w:sz w:val="20"/>
          <w:u w:val="single"/>
        </w:rPr>
        <w:t>Keywords</w:t>
      </w:r>
    </w:p>
    <w:p w14:paraId="04F7DCAE" w14:textId="77777777" w:rsidR="00F84C6F" w:rsidRPr="00DB13DB" w:rsidRDefault="00677DA6" w:rsidP="00F84C6F">
      <w:pPr>
        <w:rPr>
          <w:rFonts w:cs="Arial"/>
        </w:rPr>
      </w:pPr>
      <w:r>
        <w:rPr>
          <w:rFonts w:cs="Arial"/>
        </w:rPr>
        <w:t>Interest rates, Federal Reserve, yield curve</w:t>
      </w:r>
    </w:p>
    <w:p w14:paraId="33D9BCF4" w14:textId="77777777" w:rsidR="00F84C6F" w:rsidRDefault="00F84C6F" w:rsidP="00F84C6F">
      <w:pPr>
        <w:spacing w:line="280" w:lineRule="atLeast"/>
        <w:outlineLvl w:val="0"/>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856"/>
      </w:tblGrid>
      <w:tr w:rsidR="003E240C" w:rsidRPr="00D5662F" w14:paraId="09AC7416" w14:textId="77777777">
        <w:trPr>
          <w:trHeight w:val="240"/>
        </w:trPr>
        <w:tc>
          <w:tcPr>
            <w:tcW w:w="8856" w:type="dxa"/>
            <w:tcBorders>
              <w:bottom w:val="single" w:sz="4" w:space="0" w:color="auto"/>
            </w:tcBorders>
            <w:shd w:val="clear" w:color="auto" w:fill="000000"/>
          </w:tcPr>
          <w:p w14:paraId="4332A9E4" w14:textId="77777777" w:rsidR="003E240C" w:rsidRPr="00D5662F" w:rsidRDefault="00F84C6F" w:rsidP="006376EC">
            <w:pPr>
              <w:spacing w:line="280" w:lineRule="atLeast"/>
              <w:rPr>
                <w:color w:val="FFFFFF"/>
              </w:rPr>
            </w:pPr>
            <w:r>
              <w:rPr>
                <w:color w:val="FFFFFF"/>
              </w:rPr>
              <w:t>Trading Insights Homepage Assets</w:t>
            </w:r>
          </w:p>
        </w:tc>
      </w:tr>
    </w:tbl>
    <w:p w14:paraId="37EE24D1" w14:textId="77777777" w:rsidR="008C3E2B" w:rsidRPr="0022500B" w:rsidRDefault="008C3E2B" w:rsidP="0022500B">
      <w:pPr>
        <w:rPr>
          <w:rFonts w:cs="Arial"/>
        </w:rPr>
      </w:pPr>
    </w:p>
    <w:p w14:paraId="460741F0" w14:textId="77777777" w:rsidR="0002454F" w:rsidRDefault="00A876F3" w:rsidP="0002454F">
      <w:pPr>
        <w:rPr>
          <w:b/>
          <w:color w:val="9B9B9B"/>
          <w:sz w:val="20"/>
          <w:u w:val="single"/>
        </w:rPr>
      </w:pPr>
      <w:r>
        <w:rPr>
          <w:b/>
          <w:color w:val="9B9B9B"/>
          <w:sz w:val="20"/>
          <w:u w:val="single"/>
        </w:rPr>
        <w:t>Thumbnail Copy (</w:t>
      </w:r>
      <w:r w:rsidR="0002454F">
        <w:rPr>
          <w:b/>
          <w:color w:val="9B9B9B"/>
          <w:sz w:val="20"/>
          <w:u w:val="single"/>
        </w:rPr>
        <w:t>right rail/homepage tab</w:t>
      </w:r>
      <w:r w:rsidR="00301258">
        <w:rPr>
          <w:b/>
          <w:color w:val="9B9B9B"/>
          <w:sz w:val="20"/>
          <w:u w:val="single"/>
        </w:rPr>
        <w:t>/carousel –bottom of article</w:t>
      </w:r>
      <w:r w:rsidR="0002454F">
        <w:rPr>
          <w:b/>
          <w:color w:val="9B9B9B"/>
          <w:sz w:val="20"/>
          <w:u w:val="single"/>
        </w:rPr>
        <w:t>)</w:t>
      </w:r>
    </w:p>
    <w:p w14:paraId="1F797020" w14:textId="75D092EB" w:rsidR="00257637" w:rsidRDefault="00257637" w:rsidP="00257637">
      <w:r w:rsidRPr="0022500B">
        <w:t xml:space="preserve">Headline (50 character limit): </w:t>
      </w:r>
      <w:r w:rsidR="00AA6069">
        <w:t xml:space="preserve">Are You Ready </w:t>
      </w:r>
      <w:proofErr w:type="gramStart"/>
      <w:r w:rsidR="00502E63">
        <w:t>For</w:t>
      </w:r>
      <w:proofErr w:type="gramEnd"/>
      <w:r w:rsidR="00502E63">
        <w:t xml:space="preserve"> Higher </w:t>
      </w:r>
      <w:r w:rsidR="00AA6069">
        <w:t>Interest Rates?</w:t>
      </w:r>
      <w:r w:rsidRPr="0022500B">
        <w:br/>
        <w:t xml:space="preserve">Copy (60 character </w:t>
      </w:r>
      <w:proofErr w:type="gramStart"/>
      <w:r w:rsidRPr="0022500B">
        <w:t>limit</w:t>
      </w:r>
      <w:proofErr w:type="gramEnd"/>
      <w:r w:rsidRPr="0022500B">
        <w:t xml:space="preserve">): </w:t>
      </w:r>
      <w:r w:rsidR="00AA6069">
        <w:t>Learn 6 strategies that can help</w:t>
      </w:r>
    </w:p>
    <w:p w14:paraId="10CF5099" w14:textId="77777777" w:rsidR="0022500B" w:rsidRPr="0022500B" w:rsidRDefault="0022500B" w:rsidP="00257637">
      <w:pPr>
        <w:rPr>
          <w:b/>
          <w:color w:val="9B9B9B"/>
          <w:u w:val="single"/>
        </w:rPr>
      </w:pPr>
    </w:p>
    <w:p w14:paraId="7C53B04E" w14:textId="77777777" w:rsidR="00F84C6F" w:rsidRDefault="0002454F" w:rsidP="0002454F">
      <w:pPr>
        <w:rPr>
          <w:rFonts w:cs="Arial"/>
        </w:rPr>
      </w:pPr>
      <w:r>
        <w:rPr>
          <w:b/>
          <w:color w:val="9B9B9B"/>
          <w:sz w:val="20"/>
          <w:u w:val="single"/>
        </w:rPr>
        <w:t>Homepage Hero/Carousel Copy</w:t>
      </w:r>
      <w:r w:rsidR="0046398F" w:rsidRPr="0046398F">
        <w:rPr>
          <w:b/>
          <w:color w:val="9B9B9B"/>
          <w:sz w:val="20"/>
        </w:rPr>
        <w:t xml:space="preserve"> (60 character limit</w:t>
      </w:r>
      <w:proofErr w:type="gramStart"/>
      <w:r w:rsidR="0046398F" w:rsidRPr="0046398F">
        <w:rPr>
          <w:b/>
          <w:color w:val="9B9B9B"/>
          <w:sz w:val="20"/>
        </w:rPr>
        <w:t>)</w:t>
      </w:r>
      <w:proofErr w:type="gramEnd"/>
      <w:r w:rsidR="001525DF">
        <w:rPr>
          <w:rFonts w:cs="Arial"/>
          <w:sz w:val="26"/>
          <w:szCs w:val="26"/>
        </w:rPr>
        <w:br/>
      </w:r>
      <w:r w:rsidR="00A13982">
        <w:rPr>
          <w:rFonts w:eastAsia="Times New Roman"/>
          <w:b/>
          <w:color w:val="000000"/>
        </w:rPr>
        <w:t xml:space="preserve">6 </w:t>
      </w:r>
      <w:r w:rsidR="00DD2811">
        <w:rPr>
          <w:rFonts w:eastAsia="Times New Roman"/>
          <w:b/>
          <w:color w:val="000000"/>
        </w:rPr>
        <w:t>Strategies for Dealing with</w:t>
      </w:r>
      <w:r w:rsidR="00C23584" w:rsidRPr="00253534">
        <w:rPr>
          <w:rFonts w:eastAsia="Times New Roman"/>
          <w:b/>
          <w:color w:val="000000"/>
        </w:rPr>
        <w:t xml:space="preserve"> Rising Interest Rates</w:t>
      </w:r>
      <w:r w:rsidR="00C23584">
        <w:rPr>
          <w:rFonts w:eastAsia="Times New Roman"/>
          <w:b/>
          <w:color w:val="000000"/>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856"/>
      </w:tblGrid>
      <w:tr w:rsidR="00F84C6F" w:rsidRPr="00D5662F" w14:paraId="53B381BE" w14:textId="77777777" w:rsidTr="00F84C6F">
        <w:trPr>
          <w:trHeight w:val="240"/>
        </w:trPr>
        <w:tc>
          <w:tcPr>
            <w:tcW w:w="8856" w:type="dxa"/>
            <w:tcBorders>
              <w:bottom w:val="single" w:sz="4" w:space="0" w:color="auto"/>
            </w:tcBorders>
            <w:shd w:val="clear" w:color="auto" w:fill="000000"/>
          </w:tcPr>
          <w:p w14:paraId="319F9F6A" w14:textId="77777777" w:rsidR="00F84C6F" w:rsidRPr="00D5662F" w:rsidRDefault="00F84C6F" w:rsidP="00F84C6F">
            <w:pPr>
              <w:spacing w:line="280" w:lineRule="atLeast"/>
              <w:rPr>
                <w:color w:val="FFFFFF"/>
              </w:rPr>
            </w:pPr>
            <w:r>
              <w:rPr>
                <w:color w:val="FFFFFF"/>
              </w:rPr>
              <w:t>Main Article Assets</w:t>
            </w:r>
          </w:p>
        </w:tc>
      </w:tr>
    </w:tbl>
    <w:p w14:paraId="288546DE" w14:textId="77777777" w:rsidR="008C3E2B" w:rsidRDefault="008C3E2B" w:rsidP="0002454F">
      <w:pPr>
        <w:rPr>
          <w:rFonts w:cs="Arial"/>
        </w:rPr>
      </w:pPr>
    </w:p>
    <w:p w14:paraId="1BFC7B42" w14:textId="77777777" w:rsidR="00F84C6F" w:rsidRPr="003771B2" w:rsidRDefault="00F84C6F" w:rsidP="00F84C6F">
      <w:pPr>
        <w:rPr>
          <w:rFonts w:cs="Arial"/>
          <w:highlight w:val="yellow"/>
        </w:rPr>
      </w:pPr>
      <w:r>
        <w:rPr>
          <w:b/>
          <w:color w:val="9B9B9B"/>
          <w:sz w:val="20"/>
          <w:u w:val="single"/>
        </w:rPr>
        <w:t>Hero Image</w:t>
      </w:r>
      <w:r>
        <w:rPr>
          <w:rFonts w:cs="Arial"/>
        </w:rPr>
        <w:br/>
      </w:r>
      <w:r w:rsidR="003728AE">
        <w:rPr>
          <w:rFonts w:cs="Arial"/>
          <w:noProof/>
        </w:rPr>
        <w:drawing>
          <wp:inline distT="0" distB="0" distL="0" distR="0" wp14:anchorId="10FFC479" wp14:editId="3F211BF1">
            <wp:extent cx="2106295" cy="2106295"/>
            <wp:effectExtent l="0" t="0" r="0" b="0"/>
            <wp:docPr id="2" name="Picture 2" descr="Macintosh HD:Users:chrissandoval:Downloads:Images:TI-InterestRatesRising-h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sandoval:Downloads:Images:TI-InterestRatesRising-her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6295" cy="2106295"/>
                    </a:xfrm>
                    <a:prstGeom prst="rect">
                      <a:avLst/>
                    </a:prstGeom>
                    <a:noFill/>
                    <a:ln>
                      <a:noFill/>
                    </a:ln>
                  </pic:spPr>
                </pic:pic>
              </a:graphicData>
            </a:graphic>
          </wp:inline>
        </w:drawing>
      </w:r>
    </w:p>
    <w:p w14:paraId="401146D4" w14:textId="77777777" w:rsidR="00F84C6F" w:rsidRPr="0022500B" w:rsidRDefault="00F84C6F" w:rsidP="00F84C6F">
      <w:pPr>
        <w:rPr>
          <w:rFonts w:cs="Arial"/>
        </w:rPr>
      </w:pPr>
    </w:p>
    <w:p w14:paraId="71D7012A" w14:textId="77777777" w:rsidR="003728AE" w:rsidRPr="0022500B" w:rsidRDefault="003728AE" w:rsidP="003728AE">
      <w:pPr>
        <w:rPr>
          <w:rFonts w:cs="Arial"/>
        </w:rPr>
      </w:pPr>
      <w:r>
        <w:rPr>
          <w:b/>
          <w:color w:val="9B9B9B"/>
          <w:sz w:val="20"/>
          <w:u w:val="single"/>
        </w:rPr>
        <w:t>Hero Image (Thumbnail)</w:t>
      </w:r>
    </w:p>
    <w:p w14:paraId="60549367" w14:textId="77777777" w:rsidR="003728AE" w:rsidRDefault="003728AE" w:rsidP="003728AE">
      <w:pPr>
        <w:rPr>
          <w:rFonts w:cs="Arial"/>
        </w:rPr>
      </w:pPr>
      <w:r>
        <w:rPr>
          <w:rFonts w:cs="Arial"/>
          <w:noProof/>
        </w:rPr>
        <w:drawing>
          <wp:inline distT="0" distB="0" distL="0" distR="0" wp14:anchorId="7439B90D" wp14:editId="657D1305">
            <wp:extent cx="1890395" cy="873125"/>
            <wp:effectExtent l="0" t="0" r="0" b="0"/>
            <wp:docPr id="3" name="Picture 3" descr="Macintosh HD:Users:chrissandoval:Downloads:Images:TI-InterestRatesRising-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rissandoval:Downloads:Images:TI-InterestRatesRising-thumbnai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0395" cy="873125"/>
                    </a:xfrm>
                    <a:prstGeom prst="rect">
                      <a:avLst/>
                    </a:prstGeom>
                    <a:noFill/>
                    <a:ln>
                      <a:noFill/>
                    </a:ln>
                  </pic:spPr>
                </pic:pic>
              </a:graphicData>
            </a:graphic>
          </wp:inline>
        </w:drawing>
      </w:r>
    </w:p>
    <w:p w14:paraId="27A7CD08" w14:textId="77777777" w:rsidR="003728AE" w:rsidRPr="008E0FB7" w:rsidRDefault="003728AE" w:rsidP="003728AE">
      <w:pPr>
        <w:rPr>
          <w:rFonts w:cs="Arial"/>
        </w:rPr>
      </w:pPr>
    </w:p>
    <w:p w14:paraId="6B7173FC" w14:textId="77777777" w:rsidR="00F84C6F" w:rsidRPr="0022500B" w:rsidRDefault="00F84C6F" w:rsidP="00F84C6F">
      <w:pPr>
        <w:rPr>
          <w:rFonts w:cs="Arial"/>
        </w:rPr>
      </w:pPr>
      <w:r>
        <w:rPr>
          <w:b/>
          <w:color w:val="9B9B9B"/>
          <w:sz w:val="20"/>
          <w:u w:val="single"/>
        </w:rPr>
        <w:t>Hero Image Title</w:t>
      </w:r>
    </w:p>
    <w:p w14:paraId="7A7B80B5" w14:textId="77777777" w:rsidR="00F84C6F" w:rsidRPr="008E0FB7" w:rsidRDefault="003728AE" w:rsidP="00F84C6F">
      <w:pPr>
        <w:rPr>
          <w:rFonts w:cs="Arial"/>
        </w:rPr>
      </w:pPr>
      <w:r>
        <w:rPr>
          <w:rFonts w:cs="Arial"/>
        </w:rPr>
        <w:t>Rising Interest Rates</w:t>
      </w:r>
    </w:p>
    <w:p w14:paraId="6F058AD3" w14:textId="77777777" w:rsidR="00F84C6F" w:rsidRDefault="00F84C6F" w:rsidP="00F84C6F">
      <w:pPr>
        <w:rPr>
          <w:rFonts w:cs="Arial"/>
        </w:rPr>
      </w:pPr>
    </w:p>
    <w:p w14:paraId="42ABB039" w14:textId="77777777" w:rsidR="00F84C6F" w:rsidRDefault="00F84C6F" w:rsidP="00F84C6F">
      <w:pPr>
        <w:rPr>
          <w:b/>
          <w:color w:val="9B9B9B"/>
          <w:sz w:val="20"/>
          <w:u w:val="single"/>
        </w:rPr>
      </w:pPr>
      <w:r>
        <w:rPr>
          <w:b/>
          <w:color w:val="9B9B9B"/>
          <w:sz w:val="20"/>
          <w:u w:val="single"/>
        </w:rPr>
        <w:t>Byline</w:t>
      </w:r>
    </w:p>
    <w:p w14:paraId="4F944004" w14:textId="77777777" w:rsidR="008E0FB7" w:rsidRPr="008E0FB7" w:rsidRDefault="00677DA6" w:rsidP="008E0FB7">
      <w:pPr>
        <w:rPr>
          <w:rFonts w:cs="Arial"/>
        </w:rPr>
      </w:pPr>
      <w:r>
        <w:rPr>
          <w:rFonts w:cs="Arial"/>
        </w:rPr>
        <w:lastRenderedPageBreak/>
        <w:t>Schwab Trading Services Learning Center</w:t>
      </w:r>
    </w:p>
    <w:p w14:paraId="0568B3F8" w14:textId="77777777" w:rsidR="0022500B" w:rsidRPr="00F84C6F" w:rsidRDefault="0022500B" w:rsidP="00E4599E">
      <w:pPr>
        <w:rPr>
          <w:rFonts w:cs="Arial"/>
        </w:rPr>
      </w:pPr>
    </w:p>
    <w:p w14:paraId="1CCCF4C2" w14:textId="77777777" w:rsidR="00CB255B" w:rsidRDefault="00CB255B" w:rsidP="00CB255B">
      <w:pPr>
        <w:rPr>
          <w:b/>
          <w:color w:val="9B9B9B"/>
          <w:sz w:val="20"/>
          <w:u w:val="single"/>
        </w:rPr>
      </w:pPr>
      <w:r>
        <w:rPr>
          <w:b/>
          <w:color w:val="9B9B9B"/>
          <w:sz w:val="20"/>
          <w:u w:val="single"/>
        </w:rPr>
        <w:t xml:space="preserve">Headline (50 character </w:t>
      </w:r>
      <w:proofErr w:type="gramStart"/>
      <w:r>
        <w:rPr>
          <w:b/>
          <w:color w:val="9B9B9B"/>
          <w:sz w:val="20"/>
          <w:u w:val="single"/>
        </w:rPr>
        <w:t>limit</w:t>
      </w:r>
      <w:proofErr w:type="gramEnd"/>
      <w:r>
        <w:rPr>
          <w:b/>
          <w:color w:val="9B9B9B"/>
          <w:sz w:val="20"/>
          <w:u w:val="single"/>
        </w:rPr>
        <w:t>)</w:t>
      </w:r>
    </w:p>
    <w:p w14:paraId="7DD66AC6" w14:textId="77777777" w:rsidR="00D84483" w:rsidRPr="0022500B" w:rsidRDefault="00A13982" w:rsidP="0022500B">
      <w:pPr>
        <w:rPr>
          <w:rFonts w:cs="Arial"/>
        </w:rPr>
      </w:pPr>
      <w:r>
        <w:rPr>
          <w:rFonts w:eastAsia="Times New Roman"/>
          <w:b/>
          <w:color w:val="000000"/>
        </w:rPr>
        <w:t xml:space="preserve">6 </w:t>
      </w:r>
      <w:r w:rsidR="00DD2811">
        <w:rPr>
          <w:rFonts w:eastAsia="Times New Roman"/>
          <w:b/>
          <w:color w:val="000000"/>
        </w:rPr>
        <w:t>Strategies for Dealing with</w:t>
      </w:r>
      <w:r w:rsidR="00C23584" w:rsidRPr="00253534">
        <w:rPr>
          <w:rFonts w:eastAsia="Times New Roman"/>
          <w:b/>
          <w:color w:val="000000"/>
        </w:rPr>
        <w:t xml:space="preserve"> Rising Interest Rates</w:t>
      </w:r>
      <w:r w:rsidR="00C23584">
        <w:rPr>
          <w:rFonts w:eastAsia="Times New Roman"/>
          <w:b/>
          <w:color w:val="000000"/>
        </w:rPr>
        <w:br/>
      </w:r>
    </w:p>
    <w:p w14:paraId="25CB25E4" w14:textId="5DA13775" w:rsidR="0022500B" w:rsidRDefault="00CB5025" w:rsidP="0022500B">
      <w:pPr>
        <w:rPr>
          <w:rFonts w:cs="Arial"/>
        </w:rPr>
      </w:pPr>
      <w:r>
        <w:rPr>
          <w:b/>
          <w:color w:val="9B9B9B"/>
          <w:sz w:val="20"/>
          <w:u w:val="single"/>
        </w:rPr>
        <w:t>Summary</w:t>
      </w:r>
      <w:r w:rsidR="0046398F" w:rsidRPr="0046398F">
        <w:rPr>
          <w:b/>
          <w:color w:val="9B9B9B"/>
          <w:sz w:val="20"/>
        </w:rPr>
        <w:t xml:space="preserve"> (160 character limit</w:t>
      </w:r>
      <w:proofErr w:type="gramStart"/>
      <w:r w:rsidR="0046398F" w:rsidRPr="0046398F">
        <w:rPr>
          <w:b/>
          <w:color w:val="9B9B9B"/>
          <w:sz w:val="20"/>
        </w:rPr>
        <w:t>)</w:t>
      </w:r>
      <w:proofErr w:type="gramEnd"/>
      <w:r w:rsidR="00AF45C9">
        <w:rPr>
          <w:b/>
          <w:color w:val="9B9B9B"/>
          <w:sz w:val="20"/>
        </w:rPr>
        <w:br/>
      </w:r>
      <w:r w:rsidR="00AA6069">
        <w:rPr>
          <w:rFonts w:cs="Arial"/>
        </w:rPr>
        <w:t xml:space="preserve">Learn about what </w:t>
      </w:r>
      <w:r w:rsidR="00A9771A">
        <w:rPr>
          <w:rFonts w:cs="Arial"/>
        </w:rPr>
        <w:t xml:space="preserve">affects </w:t>
      </w:r>
      <w:r w:rsidR="00AA6069">
        <w:rPr>
          <w:rFonts w:cs="Arial"/>
        </w:rPr>
        <w:t xml:space="preserve">interest rates along with strategies that may help you reduce risk </w:t>
      </w:r>
      <w:r w:rsidR="00502E63">
        <w:rPr>
          <w:rFonts w:cs="Arial"/>
        </w:rPr>
        <w:t xml:space="preserve">now that </w:t>
      </w:r>
      <w:r w:rsidR="00AA6069">
        <w:rPr>
          <w:rFonts w:cs="Arial"/>
        </w:rPr>
        <w:t xml:space="preserve">they rise.  </w:t>
      </w:r>
    </w:p>
    <w:p w14:paraId="7D796E52" w14:textId="77777777" w:rsidR="00C4389E" w:rsidRPr="0022500B" w:rsidRDefault="00C4389E" w:rsidP="0022500B">
      <w:pPr>
        <w:rPr>
          <w:rFonts w:cs="Arial"/>
        </w:rPr>
      </w:pPr>
    </w:p>
    <w:p w14:paraId="368A3F78" w14:textId="77777777" w:rsidR="007F5BC9" w:rsidRDefault="007F5BC9" w:rsidP="003E240C">
      <w:pPr>
        <w:rPr>
          <w:b/>
          <w:color w:val="9B9B9B"/>
          <w:sz w:val="20"/>
          <w:u w:val="single"/>
        </w:rPr>
      </w:pPr>
      <w:r>
        <w:rPr>
          <w:b/>
          <w:color w:val="9B9B9B"/>
          <w:sz w:val="20"/>
          <w:u w:val="single"/>
        </w:rPr>
        <w:t>Full article</w:t>
      </w:r>
    </w:p>
    <w:p w14:paraId="70B1A5D9" w14:textId="2ECA55BA" w:rsidR="00C23584" w:rsidRPr="00253534" w:rsidRDefault="00C23584" w:rsidP="00C23584">
      <w:pPr>
        <w:rPr>
          <w:rFonts w:eastAsia="Times New Roman"/>
          <w:b/>
          <w:color w:val="000000"/>
        </w:rPr>
      </w:pPr>
      <w:r w:rsidRPr="00253534">
        <w:t xml:space="preserve">From a peak in the early 1980’s into the past several years, both short-term and long-term interest rates have fallen precipitously. In fact, short-term rates fell to a level well below 1%. </w:t>
      </w:r>
      <w:r w:rsidR="00167AA2">
        <w:t>But just a</w:t>
      </w:r>
      <w:r w:rsidRPr="00253534">
        <w:t xml:space="preserve">s </w:t>
      </w:r>
      <w:r w:rsidR="00167AA2">
        <w:t xml:space="preserve">how </w:t>
      </w:r>
      <w:r w:rsidRPr="00253534">
        <w:t>financial markets fluctuate over time,</w:t>
      </w:r>
      <w:r w:rsidR="00167AA2">
        <w:t xml:space="preserve"> so, too, do interest rates. So it shouldn’t be much of </w:t>
      </w:r>
      <w:proofErr w:type="gramStart"/>
      <w:r w:rsidR="00167AA2">
        <w:t>a surprise</w:t>
      </w:r>
      <w:proofErr w:type="gramEnd"/>
      <w:r w:rsidR="00167AA2">
        <w:t xml:space="preserve"> that, once again, interest rates are on the rise.</w:t>
      </w:r>
      <w:r w:rsidRPr="00253534">
        <w:t xml:space="preserve"> </w:t>
      </w:r>
    </w:p>
    <w:p w14:paraId="6A346C11" w14:textId="77777777" w:rsidR="00C23584" w:rsidRPr="00253534" w:rsidRDefault="00C23584" w:rsidP="00C23584"/>
    <w:p w14:paraId="7822BA4A" w14:textId="77777777" w:rsidR="00C23584" w:rsidRPr="00253534" w:rsidRDefault="00C23584" w:rsidP="00C23584">
      <w:pPr>
        <w:rPr>
          <w:b/>
        </w:rPr>
      </w:pPr>
      <w:r w:rsidRPr="00253534">
        <w:rPr>
          <w:b/>
        </w:rPr>
        <w:t>Why Interest Rates Move</w:t>
      </w:r>
    </w:p>
    <w:p w14:paraId="67519B39" w14:textId="38EB8344" w:rsidR="00726501" w:rsidRDefault="00C23584" w:rsidP="00C23584">
      <w:r w:rsidRPr="00253534">
        <w:t xml:space="preserve">Interest is the amount paid by a borrower to a lender—above and beyond the repayment of principal amount of </w:t>
      </w:r>
      <w:r w:rsidR="006F76A0">
        <w:t>a</w:t>
      </w:r>
      <w:r w:rsidRPr="00253534">
        <w:t xml:space="preserve"> loan or bond—to compensate the lender for lending the money to the borrower in the first place. In essence, interest is “the cost of money.”</w:t>
      </w:r>
    </w:p>
    <w:p w14:paraId="40BCBABD" w14:textId="77777777" w:rsidR="00726501" w:rsidRDefault="00726501" w:rsidP="00C23584"/>
    <w:p w14:paraId="6678ED2A" w14:textId="417E35F8" w:rsidR="008E6C65" w:rsidRDefault="008E6C65" w:rsidP="008E6C65">
      <w:r w:rsidRPr="00773A5A">
        <w:t>Of course, individual securities (such as bonds) may carry varying interest rates due to factors that are more specific to those particular securities, such as the credit-worthiness of that particular issuer. But, in this article, we’ll be viewing interest rates through a broader scope.</w:t>
      </w:r>
    </w:p>
    <w:p w14:paraId="25D7E500" w14:textId="77777777" w:rsidR="008E6C65" w:rsidRDefault="008E6C65" w:rsidP="00C23584"/>
    <w:p w14:paraId="2354C71E" w14:textId="77777777" w:rsidR="00C23584" w:rsidRDefault="00726501" w:rsidP="00C23584">
      <w:r>
        <w:t>Inflation is one factor that can influence the trend of interest rates. A sharply rising (or declining) rate of inflation is typically accompanied by rising (or declining) interest rates.</w:t>
      </w:r>
      <w:r w:rsidR="005339C8">
        <w:t xml:space="preserve"> </w:t>
      </w:r>
      <w:r>
        <w:t>In addition,</w:t>
      </w:r>
      <w:r w:rsidR="006F76A0">
        <w:t xml:space="preserve"> if</w:t>
      </w:r>
      <w:r w:rsidR="00C23584" w:rsidRPr="00253534">
        <w:t xml:space="preserve"> liquidity in the financial system is plentiful, interest rates tend to decline and/or stay low. When liquidity in the financial system is reduced, interest rates tend to rise and/or stay high.</w:t>
      </w:r>
      <w:r w:rsidR="005339C8">
        <w:t xml:space="preserve"> </w:t>
      </w:r>
    </w:p>
    <w:p w14:paraId="0E5BAC70" w14:textId="4EC706BA" w:rsidR="008E6C65" w:rsidRDefault="008E6C65" w:rsidP="00C23584"/>
    <w:p w14:paraId="4F2430CD" w14:textId="2D39C94D" w:rsidR="006F76A0" w:rsidRDefault="00C23584" w:rsidP="00C23584">
      <w:r w:rsidRPr="00253534">
        <w:t xml:space="preserve">In many countries, this liquidity is strongly influenced by the actions of the Central Bank. In the U.S., this body is the Federal Reserve, or as it is commonly referred to, the Fed. The Fed can increase or decrease the amount of liquidity in the U.S. financial system </w:t>
      </w:r>
      <w:r w:rsidR="004A1A20">
        <w:t xml:space="preserve">by raising or lowering the </w:t>
      </w:r>
      <w:r w:rsidR="006F76A0">
        <w:t>f</w:t>
      </w:r>
      <w:r w:rsidR="004A1A20">
        <w:t>ed</w:t>
      </w:r>
      <w:r w:rsidR="006F76A0">
        <w:t>eral</w:t>
      </w:r>
      <w:r w:rsidR="004A1A20">
        <w:t xml:space="preserve"> funds rate</w:t>
      </w:r>
      <w:r w:rsidRPr="00253534">
        <w:t xml:space="preserve">. </w:t>
      </w:r>
      <w:r w:rsidR="00600563">
        <w:t xml:space="preserve">The </w:t>
      </w:r>
      <w:r w:rsidR="006F76A0">
        <w:t>f</w:t>
      </w:r>
      <w:r w:rsidR="00600563">
        <w:t>ed</w:t>
      </w:r>
      <w:r w:rsidR="006F76A0">
        <w:t>eral</w:t>
      </w:r>
      <w:r w:rsidR="00600563">
        <w:t xml:space="preserve"> funds rate is the interest rate at which </w:t>
      </w:r>
      <w:r w:rsidR="006F76A0">
        <w:t xml:space="preserve">institutions lend money to one another on extremely short-term loans. </w:t>
      </w:r>
      <w:r w:rsidR="00167AA2">
        <w:t>One way t</w:t>
      </w:r>
      <w:r w:rsidR="006F76A0">
        <w:t xml:space="preserve">he </w:t>
      </w:r>
      <w:r w:rsidRPr="00253534">
        <w:t xml:space="preserve">Fed </w:t>
      </w:r>
      <w:r w:rsidR="006F76A0">
        <w:t xml:space="preserve">can influence the level of the fed funds rate </w:t>
      </w:r>
      <w:r w:rsidR="00167AA2">
        <w:t xml:space="preserve">is </w:t>
      </w:r>
      <w:r w:rsidR="006F76A0">
        <w:t>via “open market transactions</w:t>
      </w:r>
      <w:r w:rsidR="00167AA2">
        <w:t>.</w:t>
      </w:r>
      <w:r w:rsidR="006F76A0">
        <w:t xml:space="preserve">” </w:t>
      </w:r>
      <w:r w:rsidR="00167AA2">
        <w:t xml:space="preserve">This involves the Fed </w:t>
      </w:r>
      <w:r w:rsidRPr="00253534">
        <w:t xml:space="preserve">buying </w:t>
      </w:r>
      <w:r w:rsidR="006F76A0">
        <w:t>or selling large amounts of previously issued U.S. debt securities</w:t>
      </w:r>
      <w:r w:rsidR="00167AA2">
        <w:t>, which then</w:t>
      </w:r>
      <w:r w:rsidR="006F76A0">
        <w:t xml:space="preserve"> </w:t>
      </w:r>
      <w:r w:rsidR="00167AA2">
        <w:t>increases or decreases</w:t>
      </w:r>
      <w:r w:rsidR="006F76A0">
        <w:t xml:space="preserve"> liquidity in the financial system.</w:t>
      </w:r>
    </w:p>
    <w:p w14:paraId="3A70FB6B" w14:textId="77777777" w:rsidR="00600563" w:rsidRDefault="00600563" w:rsidP="00C23584"/>
    <w:p w14:paraId="21E9489B" w14:textId="06E25634" w:rsidR="008E6C65" w:rsidRPr="00253534" w:rsidRDefault="00C23584" w:rsidP="00C23584">
      <w:r w:rsidRPr="00253534">
        <w:t xml:space="preserve">Since the financial </w:t>
      </w:r>
      <w:r w:rsidR="00A9771A">
        <w:t>crisis</w:t>
      </w:r>
      <w:r w:rsidR="00A9771A" w:rsidRPr="00253534">
        <w:t xml:space="preserve"> </w:t>
      </w:r>
      <w:r w:rsidRPr="00253534">
        <w:t>in 2008, the Fed has</w:t>
      </w:r>
      <w:r w:rsidR="00167AA2">
        <w:t>,</w:t>
      </w:r>
      <w:r w:rsidRPr="00253534">
        <w:t xml:space="preserve"> overall</w:t>
      </w:r>
      <w:r w:rsidR="00167AA2">
        <w:t>,</w:t>
      </w:r>
      <w:r w:rsidRPr="00253534">
        <w:t xml:space="preserve"> been very “accommodating”</w:t>
      </w:r>
      <w:r w:rsidR="005339C8">
        <w:t>—i.e.</w:t>
      </w:r>
      <w:r w:rsidRPr="00253534">
        <w:t>, they have consistently provided a great deal of liquidity to the financial marketplace</w:t>
      </w:r>
      <w:r w:rsidR="00167AA2">
        <w:t>,</w:t>
      </w:r>
      <w:r w:rsidRPr="00253534">
        <w:t xml:space="preserve"> which in turn has helped to cause interest rates to fall </w:t>
      </w:r>
      <w:r w:rsidRPr="00253534">
        <w:lastRenderedPageBreak/>
        <w:t>significantly and to stay low. However, given the cyclical nature of financial markets</w:t>
      </w:r>
      <w:r w:rsidR="00134B53">
        <w:t>,</w:t>
      </w:r>
      <w:r w:rsidRPr="00253534">
        <w:t xml:space="preserve"> </w:t>
      </w:r>
      <w:r w:rsidR="00167AA2">
        <w:t>these low interest rates are now starting to rise</w:t>
      </w:r>
      <w:r w:rsidRPr="00253534">
        <w:t xml:space="preserve">. </w:t>
      </w:r>
    </w:p>
    <w:p w14:paraId="3CB3F482" w14:textId="77777777" w:rsidR="004E48A5" w:rsidRDefault="004E48A5" w:rsidP="00C23584"/>
    <w:p w14:paraId="5EB7FC10" w14:textId="21F58C6F" w:rsidR="00C23584" w:rsidRDefault="004E48A5" w:rsidP="00C23584">
      <w:r>
        <w:t>The “yield curve” measures the level of interest rates across the maturity spectrum.</w:t>
      </w:r>
      <w:r w:rsidR="005339C8">
        <w:t xml:space="preserve"> </w:t>
      </w:r>
      <w:r>
        <w:t>Typically</w:t>
      </w:r>
      <w:r w:rsidR="00773A5A">
        <w:t xml:space="preserve">—though </w:t>
      </w:r>
      <w:r>
        <w:t>not always</w:t>
      </w:r>
      <w:r w:rsidR="00773A5A">
        <w:t>—</w:t>
      </w:r>
      <w:r>
        <w:t>short-term interest rates will be lower than intermediate-term interest rates and intermediate-term interest rates will be lower than longer-term interest rates.</w:t>
      </w:r>
      <w:r w:rsidR="005339C8">
        <w:t xml:space="preserve"> </w:t>
      </w:r>
      <w:r>
        <w:t>This situation is referred to as a “normal” yield curve.</w:t>
      </w:r>
      <w:r w:rsidR="005339C8">
        <w:t xml:space="preserve"> </w:t>
      </w:r>
      <w:r w:rsidR="009201C4">
        <w:t xml:space="preserve">With a normal yield curve, bond buyers essentially </w:t>
      </w:r>
      <w:r>
        <w:t xml:space="preserve">demand </w:t>
      </w:r>
      <w:r w:rsidR="00C23584" w:rsidRPr="00253534">
        <w:t>a higher rate of interest in order to lend money for 30 years than they will to loan money for 30 days since they will be locking up their money for a longer period of time.</w:t>
      </w:r>
      <w:r w:rsidR="005339C8">
        <w:t xml:space="preserve"> </w:t>
      </w:r>
    </w:p>
    <w:p w14:paraId="534DCDAC" w14:textId="3411AF41" w:rsidR="009201C4" w:rsidRDefault="009201C4" w:rsidP="009201C4">
      <w:r>
        <w:t>It is important to note however, that at times</w:t>
      </w:r>
      <w:r w:rsidR="00134B53">
        <w:t>,</w:t>
      </w:r>
      <w:r>
        <w:t xml:space="preserve"> abnormal economic factors can cause the yield curve to “invert”</w:t>
      </w:r>
      <w:r w:rsidR="005339C8">
        <w:t>—i.e.</w:t>
      </w:r>
      <w:r w:rsidR="005339C8" w:rsidRPr="00253534">
        <w:t>,</w:t>
      </w:r>
      <w:r>
        <w:t xml:space="preserve"> short-term rates rise above longer-term rates</w:t>
      </w:r>
      <w:r w:rsidR="006F76A0">
        <w:t>,</w:t>
      </w:r>
      <w:r w:rsidR="004A4A35">
        <w:t xml:space="preserve"> or to be “flat” across the maturity spectrum</w:t>
      </w:r>
      <w:r>
        <w:t>.</w:t>
      </w:r>
      <w:r w:rsidR="005339C8">
        <w:t xml:space="preserve"> </w:t>
      </w:r>
    </w:p>
    <w:p w14:paraId="6AD833D9" w14:textId="77777777" w:rsidR="004930DA" w:rsidRDefault="004930DA" w:rsidP="009201C4"/>
    <w:p w14:paraId="0349E90C" w14:textId="5D20CA3C" w:rsidR="004930DA" w:rsidRDefault="00167AA2" w:rsidP="004930DA">
      <w:r>
        <w:t>When</w:t>
      </w:r>
      <w:r w:rsidR="004930DA" w:rsidRPr="00253534">
        <w:t xml:space="preserve"> the Fed decides to change course</w:t>
      </w:r>
      <w:r w:rsidR="004930DA">
        <w:t xml:space="preserve"> by nudging the </w:t>
      </w:r>
      <w:r>
        <w:t>f</w:t>
      </w:r>
      <w:r w:rsidR="004930DA">
        <w:t>ed funds rate higher, it is possible that interest rates in general will rise, and/or that the yield curve may flatten out.</w:t>
      </w:r>
    </w:p>
    <w:p w14:paraId="457E2356" w14:textId="42D0785A" w:rsidR="004930DA" w:rsidRDefault="004930DA" w:rsidP="009201C4">
      <w:r w:rsidRPr="00253534">
        <w:t xml:space="preserve"> </w:t>
      </w:r>
      <w:r>
        <w:br/>
      </w:r>
    </w:p>
    <w:p w14:paraId="131E7A02" w14:textId="77777777" w:rsidR="004930DA" w:rsidRDefault="004930DA" w:rsidP="009201C4"/>
    <w:p w14:paraId="133B4817" w14:textId="77777777" w:rsidR="00C23584" w:rsidRPr="00253534" w:rsidRDefault="00C23584" w:rsidP="00C23584"/>
    <w:p w14:paraId="64495805" w14:textId="77777777" w:rsidR="00C23584" w:rsidRDefault="00C23584" w:rsidP="00C23584">
      <w:pPr>
        <w:rPr>
          <w:b/>
        </w:rPr>
      </w:pPr>
      <w:r w:rsidRPr="00253534">
        <w:rPr>
          <w:b/>
        </w:rPr>
        <w:t>What Happens When Interest Rates Rise</w:t>
      </w:r>
    </w:p>
    <w:p w14:paraId="6CC2A476" w14:textId="77777777" w:rsidR="003728AE" w:rsidRPr="00253534" w:rsidRDefault="003728AE" w:rsidP="00C23584">
      <w:pPr>
        <w:rPr>
          <w:b/>
        </w:rPr>
      </w:pPr>
      <w:r>
        <w:rPr>
          <w:b/>
          <w:noProof/>
        </w:rPr>
        <w:drawing>
          <wp:inline distT="0" distB="0" distL="0" distR="0" wp14:anchorId="0A4F84DB" wp14:editId="27A87776">
            <wp:extent cx="5486400" cy="1838960"/>
            <wp:effectExtent l="0" t="0" r="0" b="0"/>
            <wp:docPr id="4" name="Picture 4" descr="Macintosh HD:Users:chrissandoval:Downloads:Images:TI-InterestRatesRising-WhatHapp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hrissandoval:Downloads:Images:TI-InterestRatesRising-WhatHappen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1838960"/>
                    </a:xfrm>
                    <a:prstGeom prst="rect">
                      <a:avLst/>
                    </a:prstGeom>
                    <a:noFill/>
                    <a:ln>
                      <a:noFill/>
                    </a:ln>
                  </pic:spPr>
                </pic:pic>
              </a:graphicData>
            </a:graphic>
          </wp:inline>
        </w:drawing>
      </w:r>
    </w:p>
    <w:p w14:paraId="022C2B3F" w14:textId="77777777" w:rsidR="00C23584" w:rsidRPr="00253534" w:rsidRDefault="00C23584" w:rsidP="00C23584">
      <w:r w:rsidRPr="00253534">
        <w:t>In a nutshell, when rates rise</w:t>
      </w:r>
      <w:r w:rsidR="009414B8">
        <w:t>,</w:t>
      </w:r>
      <w:r w:rsidRPr="00253534">
        <w:t xml:space="preserve"> the cost of borrowing goes up. Those who wish to borrow money—people, corporations, governmental bodies—have to pay more in interest in order to do so. This is not all good or all bad. </w:t>
      </w:r>
    </w:p>
    <w:p w14:paraId="7383C469" w14:textId="77777777" w:rsidR="00C23584" w:rsidRPr="00253534" w:rsidRDefault="00C23584" w:rsidP="00C23584"/>
    <w:p w14:paraId="2112D6A7" w14:textId="604155E1" w:rsidR="00C23584" w:rsidRDefault="00C23584" w:rsidP="00C23584">
      <w:r w:rsidRPr="00253534">
        <w:t xml:space="preserve">The good news is </w:t>
      </w:r>
      <w:r w:rsidR="004A4A35">
        <w:t xml:space="preserve">that </w:t>
      </w:r>
      <w:r w:rsidRPr="00253534">
        <w:t xml:space="preserve">new bond buyers will earn a higher rate of </w:t>
      </w:r>
      <w:r w:rsidR="00262B59">
        <w:t>interest</w:t>
      </w:r>
      <w:r w:rsidRPr="00253534">
        <w:t xml:space="preserve">. The bad news is that as rates rise, existing lenders </w:t>
      </w:r>
      <w:r w:rsidR="001F106A">
        <w:t>typically</w:t>
      </w:r>
      <w:r w:rsidR="001F106A" w:rsidRPr="00253534">
        <w:t xml:space="preserve"> </w:t>
      </w:r>
      <w:r w:rsidRPr="00253534">
        <w:t xml:space="preserve">see the value of their initial investment decline as </w:t>
      </w:r>
      <w:r w:rsidR="006F76A0">
        <w:t xml:space="preserve">existing </w:t>
      </w:r>
      <w:r w:rsidRPr="00253534">
        <w:t xml:space="preserve">bond prices decline in order to make </w:t>
      </w:r>
      <w:r w:rsidR="006F76A0">
        <w:t>these previously issued</w:t>
      </w:r>
      <w:r w:rsidR="006F76A0" w:rsidRPr="00253534">
        <w:t xml:space="preserve"> </w:t>
      </w:r>
      <w:r w:rsidRPr="00253534">
        <w:t xml:space="preserve">(and lower yielding) bonds more attractive to buyers given the higher rate of interest now available </w:t>
      </w:r>
      <w:r w:rsidR="001F106A">
        <w:t xml:space="preserve">via a newly issued bond </w:t>
      </w:r>
      <w:r w:rsidRPr="00253534">
        <w:t xml:space="preserve">in the marketplace. </w:t>
      </w:r>
    </w:p>
    <w:p w14:paraId="6AC17B70" w14:textId="77777777" w:rsidR="00161F00" w:rsidRPr="00253534" w:rsidRDefault="00161F00" w:rsidP="00C23584"/>
    <w:p w14:paraId="1BA96F6D" w14:textId="77777777" w:rsidR="00C23584" w:rsidRPr="00253534" w:rsidRDefault="00C23584" w:rsidP="00C23584">
      <w:r w:rsidRPr="00253534">
        <w:t>Historically</w:t>
      </w:r>
      <w:r w:rsidR="00947BDD">
        <w:t>,</w:t>
      </w:r>
      <w:r w:rsidRPr="00253534">
        <w:t xml:space="preserve"> rising interest rates have often—though not always—been a negative influence on stock prices. This is primarily due to the increased cost of capital that companies must bear when rates rise and the potential negative effect on </w:t>
      </w:r>
      <w:r w:rsidRPr="00253534">
        <w:lastRenderedPageBreak/>
        <w:t>corporate earnings. So while rising interest rates are a risk for bondholders, they can also increase risks for stock investors.</w:t>
      </w:r>
    </w:p>
    <w:p w14:paraId="4E24661D" w14:textId="77777777" w:rsidR="00C23584" w:rsidRPr="00253534" w:rsidRDefault="00C23584" w:rsidP="00C23584">
      <w:pPr>
        <w:rPr>
          <w:b/>
        </w:rPr>
      </w:pPr>
    </w:p>
    <w:p w14:paraId="656E453E" w14:textId="77777777" w:rsidR="00C23584" w:rsidRPr="00253534" w:rsidRDefault="00C23584" w:rsidP="00C23584">
      <w:pPr>
        <w:rPr>
          <w:b/>
        </w:rPr>
      </w:pPr>
      <w:r w:rsidRPr="00253534">
        <w:rPr>
          <w:b/>
        </w:rPr>
        <w:t>When to Hedge Against Rising Interest Rates</w:t>
      </w:r>
    </w:p>
    <w:p w14:paraId="52634C24" w14:textId="71E2EB7E" w:rsidR="001F106A" w:rsidRDefault="00F65B2C" w:rsidP="00C23584">
      <w:r>
        <w:t>Timing</w:t>
      </w:r>
      <w:r w:rsidR="00C23584" w:rsidRPr="00253534">
        <w:t xml:space="preserve"> when a rise in rates might begin is often a hot topic of conversation. </w:t>
      </w:r>
      <w:r w:rsidR="001F106A">
        <w:t>It should also be noted that short-term, intermediate-term and long-term interest rates may not rise or fall at the same pace as one another.</w:t>
      </w:r>
      <w:r w:rsidR="005339C8">
        <w:t xml:space="preserve"> </w:t>
      </w:r>
      <w:r w:rsidR="001F106A">
        <w:t xml:space="preserve">In any event, </w:t>
      </w:r>
      <w:r w:rsidR="00C23584" w:rsidRPr="00253534">
        <w:t>identifying in advance when interest rates will reverse their multi-year downtrend and start to rise in a meaningful way is difficult at best. The questions that many investors ask</w:t>
      </w:r>
      <w:r w:rsidR="00134B53">
        <w:t xml:space="preserve"> are “</w:t>
      </w:r>
      <w:r w:rsidR="00134B53" w:rsidRPr="00134B53">
        <w:rPr>
          <w:i/>
        </w:rPr>
        <w:t>When</w:t>
      </w:r>
      <w:r w:rsidR="00C23584" w:rsidRPr="00253534">
        <w:t xml:space="preserve"> will rates begin to rise</w:t>
      </w:r>
      <w:r w:rsidR="00134B53">
        <w:t>?” and “</w:t>
      </w:r>
      <w:r w:rsidR="00134B53" w:rsidRPr="00134B53">
        <w:rPr>
          <w:i/>
        </w:rPr>
        <w:t>How</w:t>
      </w:r>
      <w:r w:rsidR="00134B53">
        <w:t xml:space="preserve"> much </w:t>
      </w:r>
      <w:r w:rsidR="00C23584" w:rsidRPr="00253534">
        <w:t>higher will they go?</w:t>
      </w:r>
      <w:r w:rsidR="00134B53">
        <w:t>”</w:t>
      </w:r>
    </w:p>
    <w:p w14:paraId="466CDB24" w14:textId="77777777" w:rsidR="00C23584" w:rsidRPr="00253534" w:rsidRDefault="00C23584" w:rsidP="00C23584"/>
    <w:p w14:paraId="591FDAA7" w14:textId="5432D750" w:rsidR="00C23584" w:rsidRPr="00253534" w:rsidRDefault="00C23584" w:rsidP="00C23584">
      <w:r w:rsidRPr="00253534">
        <w:t xml:space="preserve">A </w:t>
      </w:r>
      <w:r w:rsidR="00134B53">
        <w:t xml:space="preserve">different, perhaps more useful </w:t>
      </w:r>
      <w:r w:rsidRPr="00253534">
        <w:t>way to consider interest rates is to ask, “What can I do to protect my portfolio and possibly even profit when rates do rise?” Fortunately, there are many choices available to investors. The key is in understanding the relative pros and cons of each alternative. So let’s take a look at six different tools an investor might consider.</w:t>
      </w:r>
    </w:p>
    <w:p w14:paraId="36142C0F" w14:textId="77777777" w:rsidR="00C23584" w:rsidRPr="00253534" w:rsidRDefault="00C23584" w:rsidP="009414B8">
      <w:pPr>
        <w:tabs>
          <w:tab w:val="left" w:pos="2823"/>
        </w:tabs>
      </w:pPr>
    </w:p>
    <w:p w14:paraId="3EEB0ACC" w14:textId="505E0F2E" w:rsidR="00C23584" w:rsidRPr="00253534" w:rsidRDefault="00DA240E" w:rsidP="00C23584">
      <w:pPr>
        <w:rPr>
          <w:b/>
        </w:rPr>
      </w:pPr>
      <w:r>
        <w:rPr>
          <w:b/>
        </w:rPr>
        <w:t>Ways</w:t>
      </w:r>
      <w:r w:rsidR="00C23584" w:rsidRPr="00253534">
        <w:rPr>
          <w:b/>
        </w:rPr>
        <w:t xml:space="preserve"> to Hedge </w:t>
      </w:r>
      <w:proofErr w:type="gramStart"/>
      <w:r w:rsidR="00C23584" w:rsidRPr="00253534">
        <w:rPr>
          <w:b/>
        </w:rPr>
        <w:t>Against</w:t>
      </w:r>
      <w:proofErr w:type="gramEnd"/>
      <w:r w:rsidR="00C23584" w:rsidRPr="00253534">
        <w:rPr>
          <w:b/>
        </w:rPr>
        <w:t xml:space="preserve"> Rising Interest Rates</w:t>
      </w:r>
    </w:p>
    <w:p w14:paraId="5A0A1BA9" w14:textId="77777777" w:rsidR="00C23584" w:rsidRPr="00253534" w:rsidRDefault="00C23584" w:rsidP="00C23584">
      <w:r w:rsidRPr="00253534">
        <w:t>For an investor concerned about the potential implications of higher interest rates on their present portfolio it may be useful to first consider their own objectives.</w:t>
      </w:r>
      <w:r w:rsidRPr="00253534">
        <w:tab/>
      </w:r>
    </w:p>
    <w:p w14:paraId="50D3FD48" w14:textId="77777777" w:rsidR="00C23584" w:rsidRPr="00253534" w:rsidRDefault="00C23584" w:rsidP="00C23584"/>
    <w:p w14:paraId="6FA899A8" w14:textId="77777777" w:rsidR="00C23584" w:rsidRPr="00253534" w:rsidRDefault="00C23584" w:rsidP="00C23584">
      <w:r w:rsidRPr="00253534">
        <w:t xml:space="preserve">Do you want </w:t>
      </w:r>
      <w:proofErr w:type="gramStart"/>
      <w:r w:rsidRPr="00253534">
        <w:t>to:</w:t>
      </w:r>
      <w:proofErr w:type="gramEnd"/>
    </w:p>
    <w:p w14:paraId="321BAE74" w14:textId="77777777" w:rsidR="00C23584" w:rsidRPr="00253534" w:rsidRDefault="00C23584" w:rsidP="00C23584">
      <w:r w:rsidRPr="00253534">
        <w:t>*Reduce the impact that rising rates may have on your portfolio?</w:t>
      </w:r>
    </w:p>
    <w:p w14:paraId="6B006BAF" w14:textId="77777777" w:rsidR="00C23584" w:rsidRPr="00253534" w:rsidRDefault="00C23584" w:rsidP="00C23584">
      <w:r w:rsidRPr="00253534">
        <w:t>*Eliminate the impact that rising rates may have on your portfolio?</w:t>
      </w:r>
    </w:p>
    <w:p w14:paraId="0A3006B9" w14:textId="77777777" w:rsidR="00C23584" w:rsidRPr="00253534" w:rsidRDefault="00C23584" w:rsidP="00C23584">
      <w:r w:rsidRPr="00253534">
        <w:t>*Profit from a rise in interest rates?</w:t>
      </w:r>
    </w:p>
    <w:p w14:paraId="6F7E9B48" w14:textId="77777777" w:rsidR="00C23584" w:rsidRPr="00253534" w:rsidRDefault="00C23584" w:rsidP="00C23584"/>
    <w:p w14:paraId="6717FC36" w14:textId="77777777" w:rsidR="00C23584" w:rsidRPr="00253534" w:rsidRDefault="00C23584" w:rsidP="00C23584">
      <w:r w:rsidRPr="00253534">
        <w:t>Depending upon one’s individual objectives, an investor may choose one or more of the following alternatives.</w:t>
      </w:r>
    </w:p>
    <w:p w14:paraId="1E33828E" w14:textId="77777777" w:rsidR="00C23584" w:rsidRPr="00253534" w:rsidRDefault="00C23584" w:rsidP="00C23584"/>
    <w:p w14:paraId="39243A62" w14:textId="77777777" w:rsidR="00C23584" w:rsidRDefault="00C23584" w:rsidP="00C23584">
      <w:pPr>
        <w:rPr>
          <w:b/>
        </w:rPr>
      </w:pPr>
      <w:r w:rsidRPr="00253534">
        <w:rPr>
          <w:b/>
        </w:rPr>
        <w:t xml:space="preserve">Alternative #1: </w:t>
      </w:r>
      <w:r w:rsidR="00F65B2C">
        <w:rPr>
          <w:b/>
        </w:rPr>
        <w:t>Sell some bonds holdings and raise cash</w:t>
      </w:r>
      <w:r w:rsidRPr="00253534">
        <w:rPr>
          <w:b/>
        </w:rPr>
        <w:t xml:space="preserve"> </w:t>
      </w:r>
    </w:p>
    <w:p w14:paraId="3DE08F4D" w14:textId="77777777" w:rsidR="003728AE" w:rsidRPr="00253534" w:rsidRDefault="003728AE" w:rsidP="00C23584">
      <w:pPr>
        <w:rPr>
          <w:b/>
        </w:rPr>
      </w:pPr>
      <w:r>
        <w:rPr>
          <w:b/>
          <w:noProof/>
        </w:rPr>
        <w:lastRenderedPageBreak/>
        <w:drawing>
          <wp:inline distT="0" distB="0" distL="0" distR="0" wp14:anchorId="04FBC2A9" wp14:editId="49678A3C">
            <wp:extent cx="5167630" cy="8229600"/>
            <wp:effectExtent l="0" t="0" r="0" b="0"/>
            <wp:docPr id="6" name="Picture 6" descr="Macintosh HD:Users:chrissandoval:Downloads:Images:TI-InterestRatesRising-SellBo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hrissandoval:Downloads:Images:TI-InterestRatesRising-SellBond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7630" cy="8229600"/>
                    </a:xfrm>
                    <a:prstGeom prst="rect">
                      <a:avLst/>
                    </a:prstGeom>
                    <a:noFill/>
                    <a:ln>
                      <a:noFill/>
                    </a:ln>
                  </pic:spPr>
                </pic:pic>
              </a:graphicData>
            </a:graphic>
          </wp:inline>
        </w:drawing>
      </w:r>
    </w:p>
    <w:p w14:paraId="6AE664AC" w14:textId="77777777" w:rsidR="00C23584" w:rsidRPr="00253534" w:rsidRDefault="00C23584" w:rsidP="00C23584">
      <w:r w:rsidRPr="00253534">
        <w:lastRenderedPageBreak/>
        <w:t xml:space="preserve">The simplest—and most drastic—action that an investor can take is to sell </w:t>
      </w:r>
      <w:r w:rsidR="00F65B2C">
        <w:t xml:space="preserve">some of their </w:t>
      </w:r>
      <w:r w:rsidRPr="00253534">
        <w:t xml:space="preserve">current </w:t>
      </w:r>
      <w:r w:rsidR="00F65B2C">
        <w:t xml:space="preserve">bond </w:t>
      </w:r>
      <w:r w:rsidRPr="00253534">
        <w:t>holdings and leave the proceeds in an interest bearing cash account or money-market fund</w:t>
      </w:r>
      <w:r w:rsidR="00F65B2C">
        <w:t xml:space="preserve"> which might benefit from a rise in interest rates</w:t>
      </w:r>
      <w:r w:rsidRPr="00253534">
        <w:t>.</w:t>
      </w:r>
    </w:p>
    <w:p w14:paraId="23B10350" w14:textId="77777777" w:rsidR="00C23584" w:rsidRPr="00253534" w:rsidRDefault="00C23584" w:rsidP="00C23584">
      <w:r w:rsidRPr="00253534">
        <w:rPr>
          <w:b/>
        </w:rPr>
        <w:t>Pros:</w:t>
      </w:r>
      <w:r w:rsidRPr="00253534">
        <w:t xml:space="preserve"> </w:t>
      </w:r>
      <w:r w:rsidR="00CE7BE5">
        <w:t xml:space="preserve">Can significantly reduce </w:t>
      </w:r>
      <w:r w:rsidRPr="00253534">
        <w:t xml:space="preserve">risk </w:t>
      </w:r>
      <w:r w:rsidR="00292CA0">
        <w:t>if interest</w:t>
      </w:r>
      <w:r w:rsidRPr="00253534">
        <w:t xml:space="preserve"> rates</w:t>
      </w:r>
      <w:r w:rsidR="00292CA0">
        <w:t xml:space="preserve"> rise significantly</w:t>
      </w:r>
      <w:r w:rsidRPr="00253534">
        <w:t xml:space="preserve">. As rates rise, the rate of interest earned </w:t>
      </w:r>
      <w:r w:rsidR="00292CA0">
        <w:t xml:space="preserve">on cash and/or money-market instruments </w:t>
      </w:r>
      <w:r w:rsidRPr="00253534">
        <w:t>increases.</w:t>
      </w:r>
    </w:p>
    <w:p w14:paraId="58D8CC08" w14:textId="77777777" w:rsidR="00C23584" w:rsidRPr="00253534" w:rsidRDefault="00C23584" w:rsidP="00C23584">
      <w:r w:rsidRPr="00253534">
        <w:rPr>
          <w:b/>
        </w:rPr>
        <w:t>Cons:</w:t>
      </w:r>
      <w:r w:rsidRPr="00253534">
        <w:t xml:space="preserve"> Primarily a defensive move. Little upside potential as </w:t>
      </w:r>
      <w:r w:rsidR="00292CA0">
        <w:t xml:space="preserve">money-market and </w:t>
      </w:r>
      <w:r w:rsidR="000A6F06">
        <w:t xml:space="preserve">other </w:t>
      </w:r>
      <w:r w:rsidRPr="00253534">
        <w:t>short-term rates are presently very low.</w:t>
      </w:r>
      <w:r w:rsidR="000A6F06">
        <w:t xml:space="preserve"> If Fed holds interest rates low returns can remain very low compared to earning higher yields elsewhere. </w:t>
      </w:r>
    </w:p>
    <w:p w14:paraId="1018430C" w14:textId="77777777" w:rsidR="00C23584" w:rsidRPr="00253534" w:rsidRDefault="00C23584" w:rsidP="00C23584">
      <w:pPr>
        <w:rPr>
          <w:b/>
        </w:rPr>
      </w:pPr>
    </w:p>
    <w:p w14:paraId="0DD0EBAB" w14:textId="77777777" w:rsidR="00C23584" w:rsidRPr="00253534" w:rsidRDefault="00C23584" w:rsidP="00C23584">
      <w:pPr>
        <w:rPr>
          <w:b/>
        </w:rPr>
      </w:pPr>
      <w:r w:rsidRPr="00253534">
        <w:rPr>
          <w:b/>
        </w:rPr>
        <w:t>Alternative #2: Move to Short-Term Bonds</w:t>
      </w:r>
    </w:p>
    <w:p w14:paraId="22EDBD77" w14:textId="301D81F6" w:rsidR="00C23584" w:rsidRPr="00253534" w:rsidRDefault="00C23584" w:rsidP="00C23584">
      <w:r w:rsidRPr="00253534">
        <w:t xml:space="preserve">Another potential defensive play is short-term bonds. Short-term bonds almost invariably pay a slightly higher rate of interest than a cash or money-market account. Short-term bonds typically do not fluctuate widely in price but the fact remains that unlike a savings </w:t>
      </w:r>
      <w:r w:rsidR="000A6F06">
        <w:t>account</w:t>
      </w:r>
      <w:r w:rsidR="00E7489A">
        <w:t>,</w:t>
      </w:r>
      <w:r w:rsidR="000A6F06">
        <w:t xml:space="preserve"> </w:t>
      </w:r>
      <w:r w:rsidRPr="00253534">
        <w:t>a short-t</w:t>
      </w:r>
      <w:r w:rsidR="00E7489A">
        <w:t>erm bond can decline in value</w:t>
      </w:r>
      <w:bookmarkStart w:id="0" w:name="_GoBack"/>
      <w:bookmarkEnd w:id="0"/>
      <w:r w:rsidRPr="00253534">
        <w:t>.</w:t>
      </w:r>
    </w:p>
    <w:p w14:paraId="158A3681" w14:textId="77777777" w:rsidR="00C23584" w:rsidRPr="00253534" w:rsidRDefault="00C23584" w:rsidP="00C23584">
      <w:r w:rsidRPr="00253534">
        <w:rPr>
          <w:b/>
        </w:rPr>
        <w:t>Pros:</w:t>
      </w:r>
      <w:r w:rsidRPr="00253534">
        <w:t xml:space="preserve"> </w:t>
      </w:r>
      <w:r w:rsidR="000A6F06">
        <w:t>Typically offer a higher yield than rates available for saving accounts or money-market instruments.</w:t>
      </w:r>
      <w:r w:rsidRPr="00253534">
        <w:t xml:space="preserve"> As rates rise, the interest paid increases</w:t>
      </w:r>
      <w:r w:rsidR="00B0080D">
        <w:t xml:space="preserve"> over time</w:t>
      </w:r>
    </w:p>
    <w:p w14:paraId="7259B625" w14:textId="77777777" w:rsidR="00C23584" w:rsidRPr="00253534" w:rsidRDefault="00C23584" w:rsidP="00C23584">
      <w:r w:rsidRPr="00253534">
        <w:rPr>
          <w:b/>
        </w:rPr>
        <w:t>Cons:</w:t>
      </w:r>
      <w:r w:rsidRPr="00253534">
        <w:t xml:space="preserve"> Short-term rates are presently very low and even short-term bonds can decline in value if rates rise.</w:t>
      </w:r>
    </w:p>
    <w:p w14:paraId="76ADADFD" w14:textId="77777777" w:rsidR="00C23584" w:rsidRPr="00253534" w:rsidRDefault="00C23584" w:rsidP="00C23584"/>
    <w:p w14:paraId="7FF8A92F" w14:textId="77777777" w:rsidR="00C23584" w:rsidRDefault="00C23584" w:rsidP="00C23584">
      <w:pPr>
        <w:rPr>
          <w:b/>
        </w:rPr>
      </w:pPr>
      <w:r w:rsidRPr="00253534">
        <w:rPr>
          <w:b/>
        </w:rPr>
        <w:t>Alternative #3: A Bond Ladder</w:t>
      </w:r>
    </w:p>
    <w:p w14:paraId="017F6E08" w14:textId="77777777" w:rsidR="003728AE" w:rsidRPr="00253534" w:rsidRDefault="003728AE" w:rsidP="00C23584">
      <w:pPr>
        <w:rPr>
          <w:b/>
        </w:rPr>
      </w:pPr>
      <w:r>
        <w:rPr>
          <w:b/>
          <w:noProof/>
        </w:rPr>
        <w:lastRenderedPageBreak/>
        <w:drawing>
          <wp:inline distT="0" distB="0" distL="0" distR="0" wp14:anchorId="242F0C85" wp14:editId="3C00134C">
            <wp:extent cx="4582160" cy="8229600"/>
            <wp:effectExtent l="0" t="0" r="0" b="0"/>
            <wp:docPr id="5" name="Picture 5" descr="Macintosh HD:Users:chrissandoval:Downloads:Images:TI-InterestRatesRising-BondLad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sandoval:Downloads:Images:TI-InterestRatesRising-BondLadd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2160" cy="8229600"/>
                    </a:xfrm>
                    <a:prstGeom prst="rect">
                      <a:avLst/>
                    </a:prstGeom>
                    <a:noFill/>
                    <a:ln>
                      <a:noFill/>
                    </a:ln>
                  </pic:spPr>
                </pic:pic>
              </a:graphicData>
            </a:graphic>
          </wp:inline>
        </w:drawing>
      </w:r>
    </w:p>
    <w:p w14:paraId="10ACE96C" w14:textId="738CFD6A" w:rsidR="00C23584" w:rsidRPr="00253534" w:rsidRDefault="00C23584" w:rsidP="00C23584">
      <w:r w:rsidRPr="00253534">
        <w:lastRenderedPageBreak/>
        <w:t xml:space="preserve">A bond ladder involves buying a series of individual </w:t>
      </w:r>
      <w:r w:rsidR="007F68BB">
        <w:t>securities</w:t>
      </w:r>
      <w:r w:rsidR="007F68BB" w:rsidRPr="00253534">
        <w:t xml:space="preserve"> </w:t>
      </w:r>
      <w:r w:rsidRPr="00253534">
        <w:t>(typically treasur</w:t>
      </w:r>
      <w:r w:rsidR="007F68BB">
        <w:t xml:space="preserve">y bonds, </w:t>
      </w:r>
      <w:r w:rsidR="000A6F06">
        <w:t>municipal bonds</w:t>
      </w:r>
      <w:r w:rsidR="007F68BB">
        <w:t>, investment grade corporate bonds or even CD’s</w:t>
      </w:r>
      <w:r w:rsidRPr="00253534">
        <w:t xml:space="preserve">) across a variety of maturity dates. As each bond </w:t>
      </w:r>
      <w:proofErr w:type="gramStart"/>
      <w:r w:rsidR="00B0080D">
        <w:t>matures</w:t>
      </w:r>
      <w:r w:rsidRPr="00253534">
        <w:t>,</w:t>
      </w:r>
      <w:proofErr w:type="gramEnd"/>
      <w:r w:rsidRPr="00253534">
        <w:t xml:space="preserve"> the investor “rolls” the proceeds into a new bond at the far end of the maturity ladder time frame. In a rising rate environment, this allows an investor to reinvest a portion of his or her portfolio at higher rates.</w:t>
      </w:r>
    </w:p>
    <w:p w14:paraId="548396C5" w14:textId="77777777" w:rsidR="00C23584" w:rsidRPr="00253534" w:rsidRDefault="00C23584" w:rsidP="00C23584">
      <w:r w:rsidRPr="00253534">
        <w:rPr>
          <w:b/>
        </w:rPr>
        <w:t>Pros:</w:t>
      </w:r>
      <w:r w:rsidRPr="00253534">
        <w:t xml:space="preserve"> Does not require any </w:t>
      </w:r>
      <w:r w:rsidR="00D6107C">
        <w:t xml:space="preserve">market </w:t>
      </w:r>
      <w:r w:rsidRPr="00253534">
        <w:t xml:space="preserve">timing on the part of the investor. </w:t>
      </w:r>
      <w:proofErr w:type="gramStart"/>
      <w:r w:rsidRPr="00253534">
        <w:t>Allows an investor in a rising rate environment to systematically reinvest at higher rates.</w:t>
      </w:r>
      <w:proofErr w:type="gramEnd"/>
    </w:p>
    <w:p w14:paraId="573BF44C" w14:textId="52E448E5" w:rsidR="00C23584" w:rsidRPr="00253534" w:rsidRDefault="00C23584" w:rsidP="00C23584">
      <w:r w:rsidRPr="00253534">
        <w:rPr>
          <w:b/>
        </w:rPr>
        <w:t>Cons:</w:t>
      </w:r>
      <w:r w:rsidRPr="00253534">
        <w:t xml:space="preserve"> Requires a relatively large </w:t>
      </w:r>
      <w:r w:rsidR="00442BBB">
        <w:t xml:space="preserve">investment </w:t>
      </w:r>
      <w:r w:rsidRPr="00253534">
        <w:t xml:space="preserve">to effectively </w:t>
      </w:r>
      <w:r w:rsidR="00442BBB">
        <w:t>diversify a portfolio of</w:t>
      </w:r>
      <w:r w:rsidRPr="00253534">
        <w:t xml:space="preserve"> individual bonds. Also, commissions and bid/ask spreads can negatively impact returns.</w:t>
      </w:r>
      <w:r w:rsidR="009C1A41">
        <w:t xml:space="preserve"> Also, does not eliminate interest rate risk</w:t>
      </w:r>
      <w:r w:rsidR="00442BBB">
        <w:t>, and reinvestment rates may be lower</w:t>
      </w:r>
      <w:r w:rsidR="009C1A41">
        <w:t>.</w:t>
      </w:r>
      <w:r w:rsidR="00CF35EB">
        <w:tab/>
      </w:r>
      <w:r w:rsidR="00CF35EB">
        <w:tab/>
      </w:r>
      <w:r w:rsidR="00CF35EB">
        <w:tab/>
      </w:r>
      <w:r w:rsidR="00CF35EB">
        <w:tab/>
      </w:r>
    </w:p>
    <w:p w14:paraId="3217D8FC" w14:textId="77777777" w:rsidR="00C23584" w:rsidRPr="00253534" w:rsidRDefault="00C23584" w:rsidP="00C23584">
      <w:pPr>
        <w:rPr>
          <w:b/>
        </w:rPr>
      </w:pPr>
    </w:p>
    <w:p w14:paraId="57EBF910" w14:textId="77777777" w:rsidR="00C23584" w:rsidRPr="00253534" w:rsidRDefault="00C23584" w:rsidP="00C23584">
      <w:pPr>
        <w:rPr>
          <w:b/>
        </w:rPr>
      </w:pPr>
      <w:r w:rsidRPr="00253534">
        <w:rPr>
          <w:b/>
        </w:rPr>
        <w:t>Alternative #4: Interest Rate Hedged Funds and ETFs</w:t>
      </w:r>
    </w:p>
    <w:p w14:paraId="12BEB986" w14:textId="77777777" w:rsidR="00C23584" w:rsidRPr="00253534" w:rsidRDefault="00C23584" w:rsidP="00C23584">
      <w:r w:rsidRPr="00253534">
        <w:t xml:space="preserve">Interest rate hedged funds and ETFs typically hold a portfolio of a certain type of bond (treasury, investment grade corporate, high yield corporate) and then sell short </w:t>
      </w:r>
      <w:proofErr w:type="gramStart"/>
      <w:r w:rsidRPr="00253534">
        <w:t>treasury</w:t>
      </w:r>
      <w:proofErr w:type="gramEnd"/>
      <w:r w:rsidRPr="00253534">
        <w:t xml:space="preserve"> bond and/or treasury note futures in order to offset the risk of </w:t>
      </w:r>
      <w:r w:rsidR="00CF35EB">
        <w:t xml:space="preserve">potentially </w:t>
      </w:r>
      <w:r w:rsidRPr="00253534">
        <w:t>lower bond prices. The basic idea is that the fund or ETF will offer an attractive dividend yield while offsetting at least some downside risk if interest rates rise.</w:t>
      </w:r>
    </w:p>
    <w:p w14:paraId="39E013EF" w14:textId="77777777" w:rsidR="00C23584" w:rsidRPr="00253534" w:rsidRDefault="00C23584" w:rsidP="00C23584"/>
    <w:p w14:paraId="646991E3" w14:textId="37C03E51" w:rsidR="00C23584" w:rsidRPr="00253534" w:rsidRDefault="00C23584" w:rsidP="00C23584">
      <w:r w:rsidRPr="00253534">
        <w:t>Investors need to do some research before investing in interest rate hedge</w:t>
      </w:r>
      <w:r w:rsidR="00026399">
        <w:t>d</w:t>
      </w:r>
      <w:r w:rsidRPr="00253534">
        <w:t xml:space="preserve"> securities. As most of these securities are relatively new, there is no track record available to gauge how they might perform in a rising interest rate environment. Other considerations include the dividend yield, the average maturity of the bonds held in the portfolio (longer-term bonds will yield more but will also experience more price volatility than shorter-term bonds), and adequate trading volume and liquidity. </w:t>
      </w:r>
      <w:r w:rsidR="00E5504E">
        <w:t>Also f</w:t>
      </w:r>
      <w:r w:rsidR="00CE0A0C">
        <w:t>unds and ETFs that hold corporate bonds and hedge by sell</w:t>
      </w:r>
      <w:r w:rsidR="00E5504E">
        <w:t>ing</w:t>
      </w:r>
      <w:r w:rsidR="00CE0A0C">
        <w:t xml:space="preserve"> </w:t>
      </w:r>
      <w:proofErr w:type="gramStart"/>
      <w:r w:rsidR="00CE0A0C">
        <w:t>treasury</w:t>
      </w:r>
      <w:proofErr w:type="gramEnd"/>
      <w:r w:rsidR="00CE0A0C">
        <w:t xml:space="preserve"> bond</w:t>
      </w:r>
      <w:r w:rsidR="00E5504E">
        <w:t xml:space="preserve"> futures</w:t>
      </w:r>
      <w:r w:rsidR="00CE0A0C">
        <w:t xml:space="preserve"> </w:t>
      </w:r>
      <w:r w:rsidR="00E5504E">
        <w:t>may lose value if the spread between corporate bond yields a</w:t>
      </w:r>
      <w:r w:rsidR="00773A5A">
        <w:t>nd treasury bond yields widens.</w:t>
      </w:r>
      <w:r w:rsidR="00E5504E">
        <w:t xml:space="preserve"> In this case the corporate bond portfolio may rise less (or decline more) in value than the hedge offered by the short treasury position.</w:t>
      </w:r>
    </w:p>
    <w:p w14:paraId="410E980B" w14:textId="77777777" w:rsidR="00C23584" w:rsidRPr="00253534" w:rsidRDefault="00C23584" w:rsidP="00C23584"/>
    <w:p w14:paraId="67EBAB05" w14:textId="77777777" w:rsidR="00C23584" w:rsidRPr="00253534" w:rsidRDefault="00C23584" w:rsidP="00C23584">
      <w:r w:rsidRPr="00253534">
        <w:rPr>
          <w:b/>
        </w:rPr>
        <w:t>Pros:</w:t>
      </w:r>
      <w:r w:rsidRPr="00253534">
        <w:t xml:space="preserve"> Can allow an investor to continue to earn higher yields while potentially offsetting some or all risk associated with higher interest rates.</w:t>
      </w:r>
    </w:p>
    <w:p w14:paraId="570CD487" w14:textId="77777777" w:rsidR="00C23584" w:rsidRPr="00253534" w:rsidRDefault="00C23584" w:rsidP="00C23584">
      <w:r w:rsidRPr="00253534">
        <w:rPr>
          <w:b/>
        </w:rPr>
        <w:t>Cons:</w:t>
      </w:r>
      <w:r w:rsidRPr="00253534">
        <w:t xml:space="preserve"> Limited track record, so hard to gauge effectiveness of hedging feature. Also, many interest rate hedged funds are not heavily traded.</w:t>
      </w:r>
    </w:p>
    <w:p w14:paraId="22422699" w14:textId="77777777" w:rsidR="00C23584" w:rsidRPr="00253534" w:rsidRDefault="00C23584" w:rsidP="00C23584"/>
    <w:p w14:paraId="5ECF701B" w14:textId="77777777" w:rsidR="00C23584" w:rsidRPr="00253534" w:rsidRDefault="00C23584" w:rsidP="00C23584">
      <w:pPr>
        <w:rPr>
          <w:b/>
        </w:rPr>
      </w:pPr>
      <w:r w:rsidRPr="00253534">
        <w:rPr>
          <w:b/>
        </w:rPr>
        <w:t>Alternative #5: Variable Rate Instruments</w:t>
      </w:r>
    </w:p>
    <w:p w14:paraId="570CA24F" w14:textId="77777777" w:rsidR="00C23584" w:rsidRPr="00253534" w:rsidRDefault="00C23584" w:rsidP="00C23584">
      <w:r w:rsidRPr="00253534">
        <w:t>As the name implies, a “variable rate instrument” is a security that does not offer a fixed rate of return or interest. The rate of interest that it will pay can vary over time. In a declining interest rate environment, this can be a negative for obvious reasons. However, in a stable environment and especially in a rising rate environment these instruments can offer investors a built-in hedge against rising interest rates. There are two primary types of variable rate instruments, so let’s look at them individually.</w:t>
      </w:r>
    </w:p>
    <w:p w14:paraId="1ABB9D20" w14:textId="77777777" w:rsidR="00720690" w:rsidRDefault="00720690" w:rsidP="00C23584"/>
    <w:p w14:paraId="2A8781BC" w14:textId="77777777" w:rsidR="00720690" w:rsidRPr="00253534" w:rsidRDefault="00720690" w:rsidP="00720690">
      <w:proofErr w:type="gramStart"/>
      <w:r w:rsidRPr="00253534">
        <w:t>An investor considering</w:t>
      </w:r>
      <w:r>
        <w:t xml:space="preserve"> </w:t>
      </w:r>
      <w:r w:rsidRPr="00253534">
        <w:t>variable rate securities needs to first determine if their priority is higher yield, greater price stability, or a mix of the two.</w:t>
      </w:r>
      <w:proofErr w:type="gramEnd"/>
      <w:r w:rsidRPr="00253534">
        <w:t xml:space="preserve"> </w:t>
      </w:r>
      <w:r w:rsidRPr="00253534">
        <w:tab/>
      </w:r>
    </w:p>
    <w:p w14:paraId="2B88CA1D" w14:textId="77777777" w:rsidR="00C23584" w:rsidRPr="00253534" w:rsidRDefault="00C23584" w:rsidP="00C23584">
      <w:pPr>
        <w:rPr>
          <w:b/>
        </w:rPr>
      </w:pPr>
    </w:p>
    <w:p w14:paraId="39BE7295" w14:textId="77777777" w:rsidR="00C23584" w:rsidRPr="00253534" w:rsidRDefault="00C23584" w:rsidP="00C23584">
      <w:pPr>
        <w:rPr>
          <w:u w:val="single"/>
        </w:rPr>
      </w:pPr>
      <w:r w:rsidRPr="00253534">
        <w:rPr>
          <w:u w:val="single"/>
        </w:rPr>
        <w:t>Variable Rate Category #</w:t>
      </w:r>
      <w:r w:rsidR="00986CDF">
        <w:rPr>
          <w:u w:val="single"/>
        </w:rPr>
        <w:t>1</w:t>
      </w:r>
      <w:r w:rsidRPr="00253534">
        <w:rPr>
          <w:u w:val="single"/>
        </w:rPr>
        <w:t xml:space="preserve">: </w:t>
      </w:r>
      <w:r w:rsidR="00E03CF7">
        <w:rPr>
          <w:u w:val="single"/>
        </w:rPr>
        <w:t xml:space="preserve">Investment Grade </w:t>
      </w:r>
      <w:r w:rsidRPr="00253534">
        <w:rPr>
          <w:u w:val="single"/>
        </w:rPr>
        <w:t>Floating Rate Securities</w:t>
      </w:r>
    </w:p>
    <w:p w14:paraId="5A3E92DF" w14:textId="77777777" w:rsidR="00523381" w:rsidRDefault="00C23584" w:rsidP="00C23584">
      <w:r w:rsidRPr="00253534">
        <w:t xml:space="preserve">These instruments </w:t>
      </w:r>
      <w:r w:rsidR="00523381">
        <w:t>are issued by investment grade companies with credit rating of BBB- or higher.</w:t>
      </w:r>
      <w:r w:rsidR="005339C8">
        <w:t xml:space="preserve"> </w:t>
      </w:r>
      <w:r w:rsidR="00523381" w:rsidRPr="00523381">
        <w:t>Rather than paying a fixed rate of interest, floati</w:t>
      </w:r>
      <w:r w:rsidR="00523381">
        <w:t>ng-rate securities</w:t>
      </w:r>
      <w:r w:rsidR="00523381" w:rsidRPr="00523381">
        <w:t xml:space="preserve"> offer interest payments which reset periodically, with rates tied to a representative interest rate index.</w:t>
      </w:r>
      <w:r w:rsidR="005339C8">
        <w:t xml:space="preserve"> </w:t>
      </w:r>
      <w:r w:rsidR="00523381">
        <w:t xml:space="preserve">The rate of interest paid on these bonds can rise </w:t>
      </w:r>
      <w:r w:rsidRPr="00253534">
        <w:t xml:space="preserve">above </w:t>
      </w:r>
      <w:r w:rsidR="00026399">
        <w:t xml:space="preserve">or below </w:t>
      </w:r>
      <w:r w:rsidR="00523381">
        <w:t>the initial rate of interest stated when the security was issued.</w:t>
      </w:r>
      <w:r w:rsidR="005339C8">
        <w:t xml:space="preserve"> </w:t>
      </w:r>
      <w:r w:rsidR="00523381">
        <w:t>As a result, if interest rates rise, investment grade floating rate securities will see the level of interest that they pay rise as soon as the next rate reset date.</w:t>
      </w:r>
    </w:p>
    <w:p w14:paraId="2D955F90" w14:textId="77777777" w:rsidR="00C23584" w:rsidRPr="00253534" w:rsidRDefault="00C23584" w:rsidP="00C23584">
      <w:pPr>
        <w:rPr>
          <w:b/>
        </w:rPr>
      </w:pPr>
    </w:p>
    <w:p w14:paraId="567FD607" w14:textId="221B751B" w:rsidR="00C23584" w:rsidRPr="00253534" w:rsidRDefault="00C23584" w:rsidP="00C23584">
      <w:r w:rsidRPr="00253534">
        <w:rPr>
          <w:b/>
        </w:rPr>
        <w:t>Pros:</w:t>
      </w:r>
      <w:r w:rsidRPr="00253534">
        <w:t xml:space="preserve"> </w:t>
      </w:r>
      <w:r w:rsidR="00AC43F9">
        <w:t>T</w:t>
      </w:r>
      <w:r w:rsidR="004D71DC">
        <w:t>he</w:t>
      </w:r>
      <w:r w:rsidR="007C7FCD">
        <w:t xml:space="preserve"> ab</w:t>
      </w:r>
      <w:r w:rsidR="000D24C3">
        <w:t>i</w:t>
      </w:r>
      <w:r w:rsidR="007C7FCD">
        <w:t>lity to</w:t>
      </w:r>
      <w:r w:rsidRPr="00253534">
        <w:t xml:space="preserve"> generate higher income as rates rise</w:t>
      </w:r>
      <w:r w:rsidR="000D24C3">
        <w:t xml:space="preserve"> </w:t>
      </w:r>
      <w:r w:rsidR="007C7FCD">
        <w:t>and the fact that they should not fall in price if interest rates rise, much unlike many other types of bonds.</w:t>
      </w:r>
    </w:p>
    <w:p w14:paraId="0142A5A9" w14:textId="77777777" w:rsidR="00C23584" w:rsidRPr="00253534" w:rsidRDefault="00C23584" w:rsidP="00C23584">
      <w:r w:rsidRPr="00253534">
        <w:rPr>
          <w:b/>
        </w:rPr>
        <w:t>Cons:</w:t>
      </w:r>
      <w:r w:rsidRPr="00253534">
        <w:t xml:space="preserve"> </w:t>
      </w:r>
      <w:r w:rsidR="007C7FCD">
        <w:t xml:space="preserve">The primary negative associated with investment grade floaters is that </w:t>
      </w:r>
      <w:r w:rsidR="006A0F40">
        <w:t xml:space="preserve">when issued </w:t>
      </w:r>
      <w:r w:rsidR="007C7FCD">
        <w:t>they generally offer c</w:t>
      </w:r>
      <w:r w:rsidRPr="00253534">
        <w:t xml:space="preserve">urrent yields </w:t>
      </w:r>
      <w:r w:rsidR="007C7FCD">
        <w:t xml:space="preserve">that are </w:t>
      </w:r>
      <w:r w:rsidR="006A0F40">
        <w:t xml:space="preserve">significantly </w:t>
      </w:r>
      <w:r w:rsidR="007C7FCD">
        <w:t xml:space="preserve">lower than a typical fixed rate bond </w:t>
      </w:r>
      <w:r w:rsidR="000D24C3">
        <w:t>of the same maturity offered by the same issuer.</w:t>
      </w:r>
      <w:r w:rsidR="005339C8">
        <w:t xml:space="preserve"> </w:t>
      </w:r>
      <w:r w:rsidR="000D24C3">
        <w:t xml:space="preserve">In addition, </w:t>
      </w:r>
      <w:r w:rsidRPr="00253534">
        <w:t>long-term price appreciation prospects are unknown</w:t>
      </w:r>
      <w:r w:rsidR="00C203C4">
        <w:t xml:space="preserve"> and may be limited</w:t>
      </w:r>
      <w:r w:rsidR="000D24C3">
        <w:t>.</w:t>
      </w:r>
    </w:p>
    <w:p w14:paraId="74D9F312" w14:textId="77777777" w:rsidR="00C23584" w:rsidRDefault="00C23584" w:rsidP="00C23584">
      <w:pPr>
        <w:rPr>
          <w:b/>
        </w:rPr>
      </w:pPr>
    </w:p>
    <w:p w14:paraId="684EFFF6" w14:textId="77777777" w:rsidR="00986CDF" w:rsidRPr="00253534" w:rsidRDefault="00986CDF" w:rsidP="00986CDF">
      <w:pPr>
        <w:rPr>
          <w:u w:val="single"/>
        </w:rPr>
      </w:pPr>
      <w:r w:rsidRPr="00253534">
        <w:rPr>
          <w:u w:val="single"/>
        </w:rPr>
        <w:t>Variable Rate Category #</w:t>
      </w:r>
      <w:r w:rsidR="006A0F40">
        <w:rPr>
          <w:u w:val="single"/>
        </w:rPr>
        <w:t>2</w:t>
      </w:r>
      <w:r w:rsidRPr="00253534">
        <w:rPr>
          <w:u w:val="single"/>
        </w:rPr>
        <w:t xml:space="preserve">: </w:t>
      </w:r>
      <w:r w:rsidR="006A0F40">
        <w:rPr>
          <w:u w:val="single"/>
        </w:rPr>
        <w:t>Bank Loan</w:t>
      </w:r>
      <w:r w:rsidR="004E781A">
        <w:rPr>
          <w:u w:val="single"/>
        </w:rPr>
        <w:t xml:space="preserve"> Securities</w:t>
      </w:r>
    </w:p>
    <w:p w14:paraId="39BE6080" w14:textId="4DFB48D9" w:rsidR="006D66A6" w:rsidRDefault="006A0F40" w:rsidP="006A0F40">
      <w:r>
        <w:t xml:space="preserve">A bank loan is the most common form of loan capital for a business. </w:t>
      </w:r>
      <w:r w:rsidR="006D66A6">
        <w:t>Bank loan fund</w:t>
      </w:r>
      <w:r w:rsidR="00AC43F9">
        <w:t>s</w:t>
      </w:r>
      <w:r w:rsidR="006D66A6">
        <w:t xml:space="preserve"> or ETF</w:t>
      </w:r>
      <w:r w:rsidR="00AC43F9">
        <w:t>s</w:t>
      </w:r>
      <w:r w:rsidR="006D66A6">
        <w:t xml:space="preserve"> hold a portfolio of bank loans.</w:t>
      </w:r>
      <w:r w:rsidR="005339C8">
        <w:t xml:space="preserve"> </w:t>
      </w:r>
      <w:r w:rsidR="00720690">
        <w:t xml:space="preserve">The rate of interest offered by a bank loan fund or ETF resets when </w:t>
      </w:r>
      <w:r w:rsidR="00AC43F9">
        <w:t xml:space="preserve">short-term </w:t>
      </w:r>
      <w:r w:rsidR="00720690">
        <w:t>interest rates rise.</w:t>
      </w:r>
      <w:r w:rsidR="005339C8">
        <w:t xml:space="preserve"> </w:t>
      </w:r>
      <w:r w:rsidR="00AC43F9">
        <w:t>Bank loans however, carry sub-investment grade ratings and have significantly more credit risk than investment grade corporate bond floating-rate securities.</w:t>
      </w:r>
      <w:r w:rsidR="00C06A95">
        <w:t xml:space="preserve"> </w:t>
      </w:r>
      <w:r w:rsidR="00720690">
        <w:t>That rate is usually set every 30,</w:t>
      </w:r>
      <w:r w:rsidR="00057190">
        <w:t xml:space="preserve"> </w:t>
      </w:r>
      <w:r w:rsidR="00720690">
        <w:t>60 or 90 days.</w:t>
      </w:r>
      <w:r w:rsidR="005339C8">
        <w:t xml:space="preserve"> </w:t>
      </w:r>
      <w:r w:rsidR="00720690">
        <w:t xml:space="preserve">The primary attraction for investors is that lower rated borrowers pay a higher rate of interest than investment grade borrowers, so bank loan funds and ETFs typically offer a higher </w:t>
      </w:r>
      <w:r w:rsidR="00AC43F9">
        <w:t>dividend</w:t>
      </w:r>
      <w:r w:rsidR="00720690">
        <w:t xml:space="preserve"> yield.</w:t>
      </w:r>
      <w:r w:rsidR="00AC43F9">
        <w:t xml:space="preserve"> Many bank loans have a “coupon floor,” which is the lowest coupon rate they will pay regardless of where short-term interest rates are. Today, most coupon floors are above short-term benchmarks, meaning most bank loans won’t benefit until short-term rates rise above that floor.</w:t>
      </w:r>
    </w:p>
    <w:p w14:paraId="5788EA10" w14:textId="77777777" w:rsidR="00986CDF" w:rsidRPr="00253534" w:rsidRDefault="00986CDF" w:rsidP="00986CDF">
      <w:pPr>
        <w:rPr>
          <w:b/>
        </w:rPr>
      </w:pPr>
    </w:p>
    <w:p w14:paraId="3A88404E" w14:textId="77777777" w:rsidR="00986CDF" w:rsidRPr="00253534" w:rsidRDefault="00986CDF" w:rsidP="00986CDF">
      <w:r w:rsidRPr="00253534">
        <w:rPr>
          <w:b/>
        </w:rPr>
        <w:t>Pros:</w:t>
      </w:r>
      <w:r w:rsidRPr="00253534">
        <w:t xml:space="preserve"> Can increase in value despite a rise in rates and can generate higher income as rates rise</w:t>
      </w:r>
      <w:r w:rsidR="0013631A">
        <w:t>.</w:t>
      </w:r>
    </w:p>
    <w:p w14:paraId="1817B7AC" w14:textId="77777777" w:rsidR="00057190" w:rsidRDefault="00986CDF" w:rsidP="00986CDF">
      <w:r w:rsidRPr="00253534">
        <w:rPr>
          <w:b/>
        </w:rPr>
        <w:t>Cons:</w:t>
      </w:r>
      <w:r w:rsidRPr="00253534">
        <w:t xml:space="preserve"> </w:t>
      </w:r>
      <w:r w:rsidR="00057190">
        <w:t>Bank loans are not recession-proof and default risk is higher.</w:t>
      </w:r>
      <w:r w:rsidR="005339C8">
        <w:t xml:space="preserve"> </w:t>
      </w:r>
      <w:r w:rsidR="00057190">
        <w:t>Bank loan funds and ETF tend to be volatile.</w:t>
      </w:r>
    </w:p>
    <w:p w14:paraId="60EDF1F6" w14:textId="77777777" w:rsidR="00057190" w:rsidRDefault="00057190" w:rsidP="00986CDF"/>
    <w:p w14:paraId="23685837" w14:textId="77777777" w:rsidR="00C23584" w:rsidRPr="00253534" w:rsidRDefault="00C23584" w:rsidP="00C23584">
      <w:pPr>
        <w:rPr>
          <w:b/>
        </w:rPr>
      </w:pPr>
      <w:r w:rsidRPr="00253534">
        <w:rPr>
          <w:b/>
        </w:rPr>
        <w:t>Alternative #6: Buy Inverse ETF or Funds</w:t>
      </w:r>
    </w:p>
    <w:p w14:paraId="750CF465" w14:textId="77777777" w:rsidR="00C23584" w:rsidRPr="00253534" w:rsidRDefault="00C23584" w:rsidP="00C23584">
      <w:r w:rsidRPr="00253534">
        <w:t xml:space="preserve">All of the securities discussed up until now will primarily serve to reduce portfolio risk and/or to generate higher yields over time in a rising interest rate environment. This category of security is specifically designed to increase in value as interest rates rise and bond prices decline. This category is for traders </w:t>
      </w:r>
      <w:r w:rsidRPr="00253534">
        <w:lastRenderedPageBreak/>
        <w:t xml:space="preserve">who want to speculate on an increase in interest rates and for investors who specifically want to hedge the risk to their portfolio posed by a rise in interest rates. </w:t>
      </w:r>
    </w:p>
    <w:p w14:paraId="0D08AC4C" w14:textId="77777777" w:rsidR="00C23584" w:rsidRPr="00253534" w:rsidRDefault="00C23584" w:rsidP="00C23584"/>
    <w:p w14:paraId="20C69EC7" w14:textId="77777777" w:rsidR="00C23584" w:rsidRPr="00253534" w:rsidRDefault="00C23584" w:rsidP="00C23584">
      <w:r w:rsidRPr="00253534">
        <w:rPr>
          <w:b/>
        </w:rPr>
        <w:t>Pros:</w:t>
      </w:r>
      <w:r w:rsidRPr="00253534">
        <w:t xml:space="preserve"> Can generate profits as </w:t>
      </w:r>
      <w:r w:rsidR="00C147BA">
        <w:t xml:space="preserve">longer-term </w:t>
      </w:r>
      <w:r w:rsidRPr="00253534">
        <w:t>interest rates rise.</w:t>
      </w:r>
    </w:p>
    <w:p w14:paraId="7EC5F07C" w14:textId="77777777" w:rsidR="00C23584" w:rsidRPr="00253534" w:rsidRDefault="00C23584" w:rsidP="00C23584">
      <w:r w:rsidRPr="00253534">
        <w:rPr>
          <w:b/>
        </w:rPr>
        <w:t>Cons:</w:t>
      </w:r>
      <w:r w:rsidRPr="00253534">
        <w:t xml:space="preserve"> Inverse funds and ETFs tend to be volatile and a poorly timed entry can hurt overall portfolio returns.</w:t>
      </w:r>
      <w:r w:rsidR="005339C8">
        <w:t xml:space="preserve"> </w:t>
      </w:r>
      <w:r w:rsidR="00CE7BE5">
        <w:t>They are designed for experienced investors who und</w:t>
      </w:r>
      <w:r w:rsidR="005806F5">
        <w:t>erstand</w:t>
      </w:r>
      <w:r w:rsidR="00CE7BE5">
        <w:t xml:space="preserve"> of the risks </w:t>
      </w:r>
    </w:p>
    <w:p w14:paraId="0AA7CE18" w14:textId="77777777" w:rsidR="00C23584" w:rsidRPr="00253534" w:rsidRDefault="00C23584" w:rsidP="00C23584">
      <w:pPr>
        <w:rPr>
          <w:b/>
        </w:rPr>
      </w:pPr>
    </w:p>
    <w:p w14:paraId="629A2ABC" w14:textId="77777777" w:rsidR="00C23584" w:rsidRPr="00253534" w:rsidRDefault="00C23584" w:rsidP="00C23584">
      <w:pPr>
        <w:rPr>
          <w:b/>
        </w:rPr>
      </w:pPr>
      <w:r w:rsidRPr="00253534">
        <w:rPr>
          <w:b/>
        </w:rPr>
        <w:t>Summary</w:t>
      </w:r>
    </w:p>
    <w:p w14:paraId="4F665B18" w14:textId="4CB0F8E8" w:rsidR="00C23584" w:rsidRPr="00253534" w:rsidRDefault="00C23584" w:rsidP="00C23584">
      <w:r w:rsidRPr="00253534">
        <w:t>The bad news is that rising and/or high interest rates can create risk for traders and investors. The good news is that thanks to the variety of trading instrument</w:t>
      </w:r>
      <w:r w:rsidR="00F04847">
        <w:t>s</w:t>
      </w:r>
      <w:r w:rsidRPr="00253534">
        <w:t xml:space="preserve"> now available, you do not have to just “sit there and take it” </w:t>
      </w:r>
      <w:r w:rsidR="008E6C65">
        <w:t xml:space="preserve">now that interest rates have started to rise. </w:t>
      </w:r>
      <w:r w:rsidRPr="00253534">
        <w:t>The keys to hedging against rising rates are to:</w:t>
      </w:r>
    </w:p>
    <w:p w14:paraId="24C177AB" w14:textId="77777777" w:rsidR="00C23584" w:rsidRPr="00253534" w:rsidRDefault="00C23584" w:rsidP="00C23584"/>
    <w:p w14:paraId="2D18ADB2" w14:textId="77777777" w:rsidR="00C23584" w:rsidRPr="00253534" w:rsidRDefault="00C23584" w:rsidP="00C23584">
      <w:r w:rsidRPr="00253534">
        <w:t>1) Assess how much a rise in rates may affect your current portfolio.</w:t>
      </w:r>
    </w:p>
    <w:p w14:paraId="26CC3F96" w14:textId="77777777" w:rsidR="00C23584" w:rsidRPr="00253534" w:rsidRDefault="00C23584" w:rsidP="00C23584">
      <w:r w:rsidRPr="00253534">
        <w:t>2) Decide whether you want to reduce interest rate risk, eliminate interest rate risk, or profit from rising rates.</w:t>
      </w:r>
    </w:p>
    <w:p w14:paraId="04B020A2" w14:textId="77777777" w:rsidR="00C23584" w:rsidRPr="00253534" w:rsidRDefault="00C23584" w:rsidP="00C23584">
      <w:r w:rsidRPr="00253534">
        <w:t>3) Choose the instrument or instruments which best achieve your own hedging objectives.</w:t>
      </w:r>
    </w:p>
    <w:p w14:paraId="73E090BC" w14:textId="77777777" w:rsidR="00C23584" w:rsidRDefault="00C23584" w:rsidP="00C23584">
      <w:pPr>
        <w:rPr>
          <w:highlight w:val="yellow"/>
        </w:rPr>
      </w:pPr>
    </w:p>
    <w:p w14:paraId="091D6ABF" w14:textId="77777777" w:rsidR="00A75469" w:rsidRPr="00A75469" w:rsidRDefault="00A75469" w:rsidP="00C23584">
      <w:pPr>
        <w:rPr>
          <w:b/>
          <w:sz w:val="20"/>
          <w:szCs w:val="20"/>
        </w:rPr>
      </w:pPr>
      <w:r w:rsidRPr="00A75469">
        <w:rPr>
          <w:b/>
          <w:sz w:val="20"/>
          <w:szCs w:val="20"/>
        </w:rPr>
        <w:t>Important Disclosures</w:t>
      </w:r>
    </w:p>
    <w:p w14:paraId="4894CAF9" w14:textId="77777777" w:rsidR="005E47BD" w:rsidRPr="00D54DD5" w:rsidRDefault="005E47BD" w:rsidP="005E47BD">
      <w:pPr>
        <w:pStyle w:val="NormalWeb"/>
        <w:rPr>
          <w:rFonts w:ascii="Arial" w:hAnsi="Arial" w:cs="Arial"/>
          <w:bCs/>
          <w:sz w:val="16"/>
          <w:szCs w:val="16"/>
        </w:rPr>
      </w:pPr>
      <w:r w:rsidRPr="00D54DD5">
        <w:rPr>
          <w:rFonts w:ascii="Arial" w:hAnsi="Arial" w:cs="Arial"/>
          <w:bCs/>
          <w:sz w:val="16"/>
          <w:szCs w:val="16"/>
        </w:rPr>
        <w:t>Investors should consider carefully information contained in the prospectus, including investment objectives, risks, charges, and expenses. You can request a</w:t>
      </w:r>
      <w:r w:rsidR="005339C8" w:rsidRPr="00D54DD5">
        <w:rPr>
          <w:rFonts w:ascii="Arial" w:hAnsi="Arial" w:cs="Arial"/>
          <w:bCs/>
          <w:sz w:val="16"/>
          <w:szCs w:val="16"/>
        </w:rPr>
        <w:t xml:space="preserve"> </w:t>
      </w:r>
      <w:hyperlink r:id="rId15" w:history="1">
        <w:r w:rsidRPr="00D54DD5">
          <w:rPr>
            <w:rStyle w:val="Hyperlink"/>
            <w:rFonts w:ascii="Arial" w:hAnsi="Arial" w:cs="Arial"/>
            <w:bCs/>
            <w:sz w:val="16"/>
            <w:szCs w:val="16"/>
          </w:rPr>
          <w:t>prospectus</w:t>
        </w:r>
      </w:hyperlink>
      <w:r w:rsidRPr="00D54DD5">
        <w:rPr>
          <w:rFonts w:ascii="Arial" w:hAnsi="Arial" w:cs="Arial"/>
          <w:bCs/>
          <w:sz w:val="16"/>
          <w:szCs w:val="16"/>
        </w:rPr>
        <w:t> by calling Schwab at 800-435-4000. Please read the prospectus carefully before investing.</w:t>
      </w:r>
    </w:p>
    <w:p w14:paraId="0F3B8508" w14:textId="77777777" w:rsidR="00CE7BE5" w:rsidRPr="00D54DD5" w:rsidRDefault="00CE7BE5" w:rsidP="005E47BD">
      <w:pPr>
        <w:pStyle w:val="NormalWeb"/>
        <w:rPr>
          <w:rFonts w:ascii="Arial" w:hAnsi="Arial" w:cs="Arial"/>
          <w:sz w:val="16"/>
          <w:szCs w:val="16"/>
        </w:rPr>
      </w:pPr>
      <w:r w:rsidRPr="00D54DD5">
        <w:rPr>
          <w:rFonts w:ascii="Arial" w:hAnsi="Arial" w:cs="Arial"/>
          <w:sz w:val="16"/>
          <w:szCs w:val="16"/>
        </w:rPr>
        <w:t>An investment in a money market fund is neither insured nor guaranteed by the FDIC or any other government agency. Yields will fluctuate, and, although the fund seeks to preserve the value of your investment at $1 per share, it is possible to lose money by investing in the fund. Compared to the total return, the seven-day yield more closely reflects the current earnings of the fund.</w:t>
      </w:r>
    </w:p>
    <w:p w14:paraId="796B3DD3" w14:textId="77777777" w:rsidR="005E47BD" w:rsidRPr="00D54DD5" w:rsidRDefault="005E47BD" w:rsidP="005E47BD">
      <w:pPr>
        <w:pStyle w:val="NormalWeb"/>
        <w:rPr>
          <w:rFonts w:ascii="Arial" w:hAnsi="Arial" w:cs="Arial"/>
          <w:sz w:val="16"/>
          <w:szCs w:val="16"/>
        </w:rPr>
      </w:pPr>
      <w:r w:rsidRPr="00D54DD5">
        <w:rPr>
          <w:rFonts w:ascii="Arial" w:hAnsi="Arial" w:cs="Arial"/>
          <w:sz w:val="16"/>
          <w:szCs w:val="16"/>
        </w:rPr>
        <w:t>Investment returns will fluctuate and are subject to market volatility, so that an investor’s shares, when redeemed or sold, may be worth more or less than their original cost. Unlike mutual funds, shares of ETFs are not individually redeemable directly with the ETF. Shares are bought and sold at market price, which may be higher or lower than the net asset value (NAV).</w:t>
      </w:r>
    </w:p>
    <w:p w14:paraId="222FB127" w14:textId="77777777" w:rsidR="00A75469" w:rsidRPr="00236CE7" w:rsidRDefault="005E47BD" w:rsidP="00A75469">
      <w:pPr>
        <w:pStyle w:val="NormalWeb"/>
        <w:rPr>
          <w:rFonts w:ascii="Arial" w:hAnsi="Arial" w:cs="Arial"/>
          <w:sz w:val="16"/>
          <w:szCs w:val="16"/>
        </w:rPr>
      </w:pPr>
      <w:r w:rsidRPr="00236CE7">
        <w:rPr>
          <w:rFonts w:ascii="Arial" w:hAnsi="Arial" w:cs="Arial"/>
          <w:sz w:val="16"/>
          <w:szCs w:val="16"/>
        </w:rPr>
        <w:t xml:space="preserve">Leveraged ETFs seek to provide a multiple of the investment returns of a given index or benchmark on a daily basis. Inverse ETFs seek to provide the opposite of the investment returns, also daily, of a given index or benchmark, either in whole or by multiples. Due to the effects of compounding, aggressive techniques, and possible correlation errors, leveraged and inverse ETFs may experience greater losses than one would ordinarily expect. Compounding can also cause a widening differential between the performances of an ETF and its underlying index or benchmark, so that returns over periods longer than one day can differ in amount and direction from the target return of the same period. Consequently, these ETFs may experience losses even in situations where the underlying index or benchmark has performed as hoped. Aggressive investment techniques such as futures, forward contracts, swap agreements, derivatives, options, can increase ETF volatility and decrease performance. Investors holding these ETFs should therefore monitor their positions as frequently as daily. </w:t>
      </w:r>
      <w:r w:rsidR="00A75469" w:rsidRPr="00236CE7">
        <w:rPr>
          <w:rFonts w:ascii="Arial" w:hAnsi="Arial" w:cs="Arial"/>
          <w:sz w:val="16"/>
          <w:szCs w:val="16"/>
        </w:rPr>
        <w:t xml:space="preserve">Past performance is no guarantee of future results. </w:t>
      </w:r>
    </w:p>
    <w:p w14:paraId="1AABF56B" w14:textId="77777777" w:rsidR="00A75469" w:rsidRPr="00236CE7" w:rsidRDefault="00A75469" w:rsidP="00A75469">
      <w:pPr>
        <w:pStyle w:val="NormalWeb"/>
        <w:rPr>
          <w:rFonts w:ascii="Arial" w:hAnsi="Arial" w:cs="Arial"/>
          <w:sz w:val="16"/>
          <w:szCs w:val="16"/>
        </w:rPr>
      </w:pPr>
      <w:r w:rsidRPr="00236CE7">
        <w:rPr>
          <w:rFonts w:ascii="Arial" w:hAnsi="Arial" w:cs="Arial"/>
          <w:sz w:val="16"/>
          <w:szCs w:val="16"/>
        </w:rPr>
        <w:t xml:space="preserve"> Investing involves risk, including loss of principal. </w:t>
      </w:r>
    </w:p>
    <w:p w14:paraId="51F2D1F4" w14:textId="77777777" w:rsidR="00F84C6F" w:rsidRPr="00D54DD5" w:rsidRDefault="00A75469" w:rsidP="00A75469">
      <w:pPr>
        <w:pStyle w:val="NormalWeb"/>
        <w:rPr>
          <w:rFonts w:ascii="Arial" w:hAnsi="Arial" w:cs="Arial"/>
          <w:b/>
          <w:i/>
          <w:sz w:val="16"/>
          <w:szCs w:val="16"/>
        </w:rPr>
      </w:pPr>
      <w:r w:rsidRPr="00236CE7">
        <w:rPr>
          <w:rFonts w:ascii="Arial" w:hAnsi="Arial" w:cs="Arial"/>
          <w:sz w:val="16"/>
          <w:szCs w:val="16"/>
        </w:rPr>
        <w:t>The information provided here is for general informational purposes only and should not be considered an individualized recommendation or personalized investment advice. The investment strategies mentioned here may not be suitable for everyone. Each investor needs to review an investment strategy for his or her own particular situation before making any investment decision.</w:t>
      </w:r>
    </w:p>
    <w:p w14:paraId="6B6D4D70" w14:textId="77777777" w:rsidR="00C23584" w:rsidRPr="00C23584" w:rsidRDefault="00C23584" w:rsidP="00C23584">
      <w:pPr>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856"/>
      </w:tblGrid>
      <w:tr w:rsidR="00F84C6F" w:rsidRPr="00D5662F" w14:paraId="5B2D9E19" w14:textId="77777777" w:rsidTr="00F84C6F">
        <w:trPr>
          <w:trHeight w:val="240"/>
        </w:trPr>
        <w:tc>
          <w:tcPr>
            <w:tcW w:w="8856" w:type="dxa"/>
            <w:tcBorders>
              <w:bottom w:val="single" w:sz="4" w:space="0" w:color="auto"/>
            </w:tcBorders>
            <w:shd w:val="clear" w:color="auto" w:fill="000000"/>
          </w:tcPr>
          <w:p w14:paraId="5B40ACAF" w14:textId="77777777" w:rsidR="00F84C6F" w:rsidRPr="00D5662F" w:rsidRDefault="00F84C6F" w:rsidP="00F84C6F">
            <w:pPr>
              <w:spacing w:line="280" w:lineRule="atLeast"/>
              <w:rPr>
                <w:color w:val="FFFFFF"/>
              </w:rPr>
            </w:pPr>
            <w:r>
              <w:rPr>
                <w:color w:val="FFFFFF"/>
              </w:rPr>
              <w:t>Additional Assets</w:t>
            </w:r>
          </w:p>
        </w:tc>
      </w:tr>
    </w:tbl>
    <w:p w14:paraId="00170DD6" w14:textId="77777777" w:rsidR="00F84C6F" w:rsidRDefault="00F84C6F" w:rsidP="00F84C6F">
      <w:pPr>
        <w:rPr>
          <w:b/>
          <w:color w:val="9B9B9B"/>
          <w:sz w:val="20"/>
          <w:u w:val="single"/>
        </w:rPr>
      </w:pPr>
    </w:p>
    <w:p w14:paraId="0F7A7BAC" w14:textId="77777777" w:rsidR="00F84C6F" w:rsidRPr="0022500B" w:rsidRDefault="00F84C6F" w:rsidP="00F84C6F">
      <w:pPr>
        <w:rPr>
          <w:rFonts w:cs="Arial"/>
        </w:rPr>
      </w:pPr>
      <w:r>
        <w:rPr>
          <w:b/>
          <w:color w:val="9B9B9B"/>
          <w:sz w:val="20"/>
          <w:u w:val="single"/>
        </w:rPr>
        <w:t>Tweet</w:t>
      </w:r>
      <w:r w:rsidRPr="00C47AE8">
        <w:rPr>
          <w:b/>
          <w:color w:val="9B9B9B"/>
          <w:sz w:val="20"/>
        </w:rPr>
        <w:t xml:space="preserve"> (140 character </w:t>
      </w:r>
      <w:proofErr w:type="gramStart"/>
      <w:r w:rsidRPr="00C47AE8">
        <w:rPr>
          <w:b/>
          <w:color w:val="9B9B9B"/>
          <w:sz w:val="20"/>
        </w:rPr>
        <w:t>limit</w:t>
      </w:r>
      <w:proofErr w:type="gramEnd"/>
      <w:r w:rsidRPr="00C47AE8">
        <w:rPr>
          <w:b/>
          <w:color w:val="9B9B9B"/>
          <w:sz w:val="20"/>
        </w:rPr>
        <w:t>)</w:t>
      </w:r>
    </w:p>
    <w:p w14:paraId="68E74069" w14:textId="77777777" w:rsidR="00F84C6F" w:rsidRDefault="00AA6069" w:rsidP="00F84C6F">
      <w:pPr>
        <w:rPr>
          <w:rFonts w:cs="Arial"/>
        </w:rPr>
      </w:pPr>
      <w:r>
        <w:rPr>
          <w:rFonts w:cs="Arial"/>
        </w:rPr>
        <w:t xml:space="preserve">With a potential interest rate hike on the horizon, learn 6 strategies that may help you reduce risk if it happens: </w:t>
      </w:r>
    </w:p>
    <w:p w14:paraId="0A9EFC38" w14:textId="77777777" w:rsidR="00F84C6F" w:rsidRDefault="00F84C6F" w:rsidP="00F84C6F">
      <w:pPr>
        <w:rPr>
          <w:rFonts w:cs="Arial"/>
        </w:rPr>
      </w:pPr>
    </w:p>
    <w:p w14:paraId="103EAC37" w14:textId="77777777" w:rsidR="00E8734E" w:rsidRDefault="00F84C6F" w:rsidP="00E8734E">
      <w:pPr>
        <w:rPr>
          <w:rFonts w:cs="Arial"/>
        </w:rPr>
      </w:pPr>
      <w:proofErr w:type="gramStart"/>
      <w:r>
        <w:rPr>
          <w:b/>
          <w:color w:val="9B9B9B"/>
          <w:sz w:val="20"/>
          <w:u w:val="single"/>
        </w:rPr>
        <w:t>Merchandising Tool</w:t>
      </w:r>
      <w:r w:rsidR="00C23584">
        <w:rPr>
          <w:b/>
          <w:color w:val="9B9B9B"/>
          <w:sz w:val="20"/>
          <w:u w:val="single"/>
        </w:rPr>
        <w:br/>
      </w:r>
      <w:r w:rsidR="00E8734E" w:rsidRPr="00901DA3">
        <w:rPr>
          <w:rFonts w:cs="Arial"/>
        </w:rPr>
        <w:t xml:space="preserve">Body Copy (70 character limit): </w:t>
      </w:r>
      <w:r w:rsidR="00E8734E">
        <w:rPr>
          <w:rFonts w:cs="Arial"/>
        </w:rPr>
        <w:t>Schwab has tools to help take emotions out of your trading.</w:t>
      </w:r>
      <w:proofErr w:type="gramEnd"/>
    </w:p>
    <w:p w14:paraId="4F61727A" w14:textId="77777777" w:rsidR="00E8734E" w:rsidRPr="009740CE" w:rsidRDefault="00E8734E" w:rsidP="00E8734E">
      <w:pPr>
        <w:rPr>
          <w:rFonts w:cs="Arial"/>
          <w:i/>
          <w:sz w:val="20"/>
          <w:szCs w:val="20"/>
        </w:rPr>
      </w:pPr>
      <w:r w:rsidRPr="00901DA3">
        <w:rPr>
          <w:rFonts w:cs="Arial"/>
        </w:rPr>
        <w:t xml:space="preserve">CTA (25 character limit): </w:t>
      </w:r>
      <w:r>
        <w:rPr>
          <w:rFonts w:cs="Arial"/>
        </w:rPr>
        <w:t xml:space="preserve">Learn more </w:t>
      </w:r>
      <w:r w:rsidRPr="009740CE">
        <w:rPr>
          <w:rFonts w:cs="Arial"/>
          <w:i/>
          <w:sz w:val="20"/>
          <w:szCs w:val="20"/>
        </w:rPr>
        <w:t>(http://www.schwab.com/public/schwab/active_trader/trading_tools/trading_software/risk_management</w:t>
      </w:r>
      <w:r>
        <w:rPr>
          <w:rFonts w:cs="Arial"/>
          <w:i/>
          <w:sz w:val="20"/>
          <w:szCs w:val="20"/>
        </w:rPr>
        <w:t>)</w:t>
      </w:r>
    </w:p>
    <w:p w14:paraId="68718A82" w14:textId="77777777" w:rsidR="00C23584" w:rsidRDefault="00C23584" w:rsidP="00C23584">
      <w:pPr>
        <w:rPr>
          <w:rFonts w:cs="Arial"/>
        </w:rPr>
      </w:pPr>
    </w:p>
    <w:p w14:paraId="66DB9569" w14:textId="77777777" w:rsidR="0022500B" w:rsidRPr="00265B7D" w:rsidRDefault="0022500B" w:rsidP="00C23584">
      <w:pPr>
        <w:rPr>
          <w:rFonts w:eastAsia="Times New Roman" w:cs="Arial"/>
        </w:rPr>
      </w:pPr>
    </w:p>
    <w:sectPr w:rsidR="0022500B" w:rsidRPr="00265B7D" w:rsidSect="00821559">
      <w:headerReference w:type="default" r:id="rId16"/>
      <w:footerReference w:type="even" r:id="rId17"/>
      <w:footerReference w:type="default" r:id="rId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25CE73" w14:textId="77777777" w:rsidR="003E6921" w:rsidRDefault="003E6921" w:rsidP="00C040B4">
      <w:r>
        <w:separator/>
      </w:r>
    </w:p>
  </w:endnote>
  <w:endnote w:type="continuationSeparator" w:id="0">
    <w:p w14:paraId="3DC05263" w14:textId="77777777" w:rsidR="003E6921" w:rsidRDefault="003E6921" w:rsidP="00C04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EB86E" w14:textId="77777777" w:rsidR="00156FAA" w:rsidRDefault="00BC6290" w:rsidP="0002454F">
    <w:pPr>
      <w:pStyle w:val="Footer"/>
      <w:framePr w:wrap="around" w:vAnchor="text" w:hAnchor="margin" w:xAlign="right" w:y="1"/>
      <w:rPr>
        <w:rStyle w:val="PageNumber"/>
      </w:rPr>
    </w:pPr>
    <w:r>
      <w:rPr>
        <w:rStyle w:val="PageNumber"/>
      </w:rPr>
      <w:fldChar w:fldCharType="begin"/>
    </w:r>
    <w:r w:rsidR="00156FAA">
      <w:rPr>
        <w:rStyle w:val="PageNumber"/>
      </w:rPr>
      <w:instrText xml:space="preserve">PAGE  </w:instrText>
    </w:r>
    <w:r>
      <w:rPr>
        <w:rStyle w:val="PageNumber"/>
      </w:rPr>
      <w:fldChar w:fldCharType="end"/>
    </w:r>
  </w:p>
  <w:p w14:paraId="58663597" w14:textId="77777777" w:rsidR="00156FAA" w:rsidRDefault="00156FAA" w:rsidP="004422F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CE076" w14:textId="77777777" w:rsidR="00156FAA" w:rsidRDefault="00BC6290" w:rsidP="0002454F">
    <w:pPr>
      <w:pStyle w:val="Footer"/>
      <w:framePr w:wrap="around" w:vAnchor="text" w:hAnchor="margin" w:xAlign="right" w:y="1"/>
      <w:rPr>
        <w:rStyle w:val="PageNumber"/>
      </w:rPr>
    </w:pPr>
    <w:r>
      <w:rPr>
        <w:rStyle w:val="PageNumber"/>
      </w:rPr>
      <w:fldChar w:fldCharType="begin"/>
    </w:r>
    <w:r w:rsidR="00156FAA">
      <w:rPr>
        <w:rStyle w:val="PageNumber"/>
      </w:rPr>
      <w:instrText xml:space="preserve">PAGE  </w:instrText>
    </w:r>
    <w:r>
      <w:rPr>
        <w:rStyle w:val="PageNumber"/>
      </w:rPr>
      <w:fldChar w:fldCharType="separate"/>
    </w:r>
    <w:r w:rsidR="00E7489A">
      <w:rPr>
        <w:rStyle w:val="PageNumber"/>
        <w:noProof/>
      </w:rPr>
      <w:t>8</w:t>
    </w:r>
    <w:r>
      <w:rPr>
        <w:rStyle w:val="PageNumber"/>
      </w:rPr>
      <w:fldChar w:fldCharType="end"/>
    </w:r>
  </w:p>
  <w:p w14:paraId="16EBDDB2" w14:textId="77777777" w:rsidR="00156FAA" w:rsidRDefault="00156FAA" w:rsidP="004422F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FB2ACC" w14:textId="77777777" w:rsidR="003E6921" w:rsidRDefault="003E6921" w:rsidP="00C040B4">
      <w:r>
        <w:separator/>
      </w:r>
    </w:p>
  </w:footnote>
  <w:footnote w:type="continuationSeparator" w:id="0">
    <w:p w14:paraId="1D1D1D49" w14:textId="77777777" w:rsidR="003E6921" w:rsidRDefault="003E6921" w:rsidP="00C040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281D0" w14:textId="77777777" w:rsidR="00156FAA" w:rsidRDefault="00156FAA" w:rsidP="00C040B4">
    <w:pPr>
      <w:pStyle w:val="Header"/>
      <w:jc w:val="right"/>
    </w:pPr>
    <w:r>
      <w:rPr>
        <w:noProof/>
      </w:rPr>
      <w:drawing>
        <wp:inline distT="0" distB="0" distL="0" distR="0" wp14:anchorId="7AF3217A" wp14:editId="5C5831F7">
          <wp:extent cx="393700" cy="393700"/>
          <wp:effectExtent l="0" t="0" r="12700" b="12700"/>
          <wp:docPr id="1" name="Picture 5" descr="3RC_butto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RC_button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F3489"/>
    <w:multiLevelType w:val="multilevel"/>
    <w:tmpl w:val="75605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80207E"/>
    <w:multiLevelType w:val="hybridMultilevel"/>
    <w:tmpl w:val="69A8BA48"/>
    <w:lvl w:ilvl="0" w:tplc="04090001">
      <w:start w:val="1"/>
      <w:numFmt w:val="bullet"/>
      <w:lvlText w:val=""/>
      <w:lvlJc w:val="left"/>
      <w:pPr>
        <w:ind w:left="1710" w:hanging="99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F452853"/>
    <w:multiLevelType w:val="multilevel"/>
    <w:tmpl w:val="738E8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D8257C1"/>
    <w:multiLevelType w:val="multilevel"/>
    <w:tmpl w:val="9A88C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C1B6EB1"/>
    <w:multiLevelType w:val="hybridMultilevel"/>
    <w:tmpl w:val="05B2D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C37649F"/>
    <w:multiLevelType w:val="hybridMultilevel"/>
    <w:tmpl w:val="740ED5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F0E54CC"/>
    <w:multiLevelType w:val="hybridMultilevel"/>
    <w:tmpl w:val="A412D4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33E04F6"/>
    <w:multiLevelType w:val="multilevel"/>
    <w:tmpl w:val="19683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4"/>
  </w:num>
  <w:num w:numId="4">
    <w:abstractNumId w:val="7"/>
  </w:num>
  <w:num w:numId="5">
    <w:abstractNumId w:val="2"/>
  </w:num>
  <w:num w:numId="6">
    <w:abstractNumId w:val="3"/>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CB7"/>
    <w:rsid w:val="0002454F"/>
    <w:rsid w:val="00024B6A"/>
    <w:rsid w:val="00026399"/>
    <w:rsid w:val="000525CC"/>
    <w:rsid w:val="00057190"/>
    <w:rsid w:val="0007104D"/>
    <w:rsid w:val="000726BC"/>
    <w:rsid w:val="00092FEF"/>
    <w:rsid w:val="000A6F06"/>
    <w:rsid w:val="000C2F4C"/>
    <w:rsid w:val="000C71B3"/>
    <w:rsid w:val="000D24C3"/>
    <w:rsid w:val="000E1A90"/>
    <w:rsid w:val="000E2403"/>
    <w:rsid w:val="000F3D1D"/>
    <w:rsid w:val="00115D79"/>
    <w:rsid w:val="00115ED3"/>
    <w:rsid w:val="00125142"/>
    <w:rsid w:val="00127FC0"/>
    <w:rsid w:val="00130A66"/>
    <w:rsid w:val="00134B53"/>
    <w:rsid w:val="0013631A"/>
    <w:rsid w:val="00136459"/>
    <w:rsid w:val="001525DF"/>
    <w:rsid w:val="00156FAA"/>
    <w:rsid w:val="00161F00"/>
    <w:rsid w:val="0016711D"/>
    <w:rsid w:val="00167AA2"/>
    <w:rsid w:val="001B2785"/>
    <w:rsid w:val="001E1DBF"/>
    <w:rsid w:val="001F106A"/>
    <w:rsid w:val="001F7803"/>
    <w:rsid w:val="0020471A"/>
    <w:rsid w:val="00211519"/>
    <w:rsid w:val="0022500B"/>
    <w:rsid w:val="00236CE7"/>
    <w:rsid w:val="002460E4"/>
    <w:rsid w:val="00251AD3"/>
    <w:rsid w:val="00257637"/>
    <w:rsid w:val="002606A6"/>
    <w:rsid w:val="00262B59"/>
    <w:rsid w:val="0026538D"/>
    <w:rsid w:val="00265B7D"/>
    <w:rsid w:val="00267D48"/>
    <w:rsid w:val="00292CA0"/>
    <w:rsid w:val="002A2044"/>
    <w:rsid w:val="002B7B2B"/>
    <w:rsid w:val="002C235D"/>
    <w:rsid w:val="002C793A"/>
    <w:rsid w:val="002E7F02"/>
    <w:rsid w:val="00301258"/>
    <w:rsid w:val="003028E2"/>
    <w:rsid w:val="00306A4B"/>
    <w:rsid w:val="00317F28"/>
    <w:rsid w:val="003240AF"/>
    <w:rsid w:val="00330CC2"/>
    <w:rsid w:val="00350E31"/>
    <w:rsid w:val="00354178"/>
    <w:rsid w:val="003728AE"/>
    <w:rsid w:val="003755E4"/>
    <w:rsid w:val="003771B2"/>
    <w:rsid w:val="00377BB2"/>
    <w:rsid w:val="003A2F8B"/>
    <w:rsid w:val="003E240C"/>
    <w:rsid w:val="003E6921"/>
    <w:rsid w:val="00416C3F"/>
    <w:rsid w:val="004422F4"/>
    <w:rsid w:val="00442BBB"/>
    <w:rsid w:val="00444483"/>
    <w:rsid w:val="0045733C"/>
    <w:rsid w:val="0046398F"/>
    <w:rsid w:val="004930DA"/>
    <w:rsid w:val="004A1A20"/>
    <w:rsid w:val="004A4A35"/>
    <w:rsid w:val="004B693B"/>
    <w:rsid w:val="004D5173"/>
    <w:rsid w:val="004D6E93"/>
    <w:rsid w:val="004D71DC"/>
    <w:rsid w:val="004E48A5"/>
    <w:rsid w:val="004E781A"/>
    <w:rsid w:val="004F5EF1"/>
    <w:rsid w:val="00502E63"/>
    <w:rsid w:val="00510E87"/>
    <w:rsid w:val="00512D7D"/>
    <w:rsid w:val="00523381"/>
    <w:rsid w:val="0053156E"/>
    <w:rsid w:val="005339C8"/>
    <w:rsid w:val="005534D2"/>
    <w:rsid w:val="00553E2C"/>
    <w:rsid w:val="00554909"/>
    <w:rsid w:val="00554E9E"/>
    <w:rsid w:val="005806F5"/>
    <w:rsid w:val="005947E2"/>
    <w:rsid w:val="005A3BCF"/>
    <w:rsid w:val="005C02BB"/>
    <w:rsid w:val="005E16D3"/>
    <w:rsid w:val="005E1CCC"/>
    <w:rsid w:val="005E47BD"/>
    <w:rsid w:val="00600563"/>
    <w:rsid w:val="006007F3"/>
    <w:rsid w:val="00616C99"/>
    <w:rsid w:val="006376EC"/>
    <w:rsid w:val="006634FA"/>
    <w:rsid w:val="00670612"/>
    <w:rsid w:val="00677DA6"/>
    <w:rsid w:val="00680637"/>
    <w:rsid w:val="00685979"/>
    <w:rsid w:val="006958F7"/>
    <w:rsid w:val="006A0F40"/>
    <w:rsid w:val="006A5086"/>
    <w:rsid w:val="006B19A7"/>
    <w:rsid w:val="006B5284"/>
    <w:rsid w:val="006C56A8"/>
    <w:rsid w:val="006D393F"/>
    <w:rsid w:val="006D4CE1"/>
    <w:rsid w:val="006D66A6"/>
    <w:rsid w:val="006F55A9"/>
    <w:rsid w:val="006F728D"/>
    <w:rsid w:val="006F76A0"/>
    <w:rsid w:val="007130D0"/>
    <w:rsid w:val="00720690"/>
    <w:rsid w:val="00726501"/>
    <w:rsid w:val="00726899"/>
    <w:rsid w:val="00747AE2"/>
    <w:rsid w:val="007561E6"/>
    <w:rsid w:val="00756208"/>
    <w:rsid w:val="00765F36"/>
    <w:rsid w:val="00773A5A"/>
    <w:rsid w:val="00776D36"/>
    <w:rsid w:val="007A1211"/>
    <w:rsid w:val="007A2C6C"/>
    <w:rsid w:val="007A2F96"/>
    <w:rsid w:val="007C155C"/>
    <w:rsid w:val="007C6371"/>
    <w:rsid w:val="007C7FCD"/>
    <w:rsid w:val="007F5BC9"/>
    <w:rsid w:val="007F68BB"/>
    <w:rsid w:val="00811210"/>
    <w:rsid w:val="008213B5"/>
    <w:rsid w:val="00821559"/>
    <w:rsid w:val="00862650"/>
    <w:rsid w:val="008C3E2B"/>
    <w:rsid w:val="008E0FB7"/>
    <w:rsid w:val="008E6C65"/>
    <w:rsid w:val="008F14B2"/>
    <w:rsid w:val="008F3948"/>
    <w:rsid w:val="009201C4"/>
    <w:rsid w:val="00936671"/>
    <w:rsid w:val="009414B8"/>
    <w:rsid w:val="009425A9"/>
    <w:rsid w:val="00942E86"/>
    <w:rsid w:val="00947BDD"/>
    <w:rsid w:val="00963AF3"/>
    <w:rsid w:val="00964043"/>
    <w:rsid w:val="00986CDF"/>
    <w:rsid w:val="009920E7"/>
    <w:rsid w:val="009A0DA0"/>
    <w:rsid w:val="009A6A4B"/>
    <w:rsid w:val="009B7F3A"/>
    <w:rsid w:val="009C1A41"/>
    <w:rsid w:val="009D0D7A"/>
    <w:rsid w:val="009E2CF1"/>
    <w:rsid w:val="00A042E7"/>
    <w:rsid w:val="00A13982"/>
    <w:rsid w:val="00A23289"/>
    <w:rsid w:val="00A36CB7"/>
    <w:rsid w:val="00A42AB1"/>
    <w:rsid w:val="00A450FC"/>
    <w:rsid w:val="00A47581"/>
    <w:rsid w:val="00A51612"/>
    <w:rsid w:val="00A631C9"/>
    <w:rsid w:val="00A67516"/>
    <w:rsid w:val="00A75469"/>
    <w:rsid w:val="00A83C60"/>
    <w:rsid w:val="00A86456"/>
    <w:rsid w:val="00A876F3"/>
    <w:rsid w:val="00A9771A"/>
    <w:rsid w:val="00AA4E36"/>
    <w:rsid w:val="00AA6069"/>
    <w:rsid w:val="00AB39B1"/>
    <w:rsid w:val="00AC43F9"/>
    <w:rsid w:val="00AC4C60"/>
    <w:rsid w:val="00AC62FD"/>
    <w:rsid w:val="00AD780A"/>
    <w:rsid w:val="00AF2EE8"/>
    <w:rsid w:val="00AF45C9"/>
    <w:rsid w:val="00AF7BC7"/>
    <w:rsid w:val="00B0080D"/>
    <w:rsid w:val="00B1338B"/>
    <w:rsid w:val="00B16C60"/>
    <w:rsid w:val="00B26D89"/>
    <w:rsid w:val="00B27D11"/>
    <w:rsid w:val="00B340E8"/>
    <w:rsid w:val="00B50B3C"/>
    <w:rsid w:val="00B5276E"/>
    <w:rsid w:val="00B55C1C"/>
    <w:rsid w:val="00B65795"/>
    <w:rsid w:val="00B83760"/>
    <w:rsid w:val="00B85289"/>
    <w:rsid w:val="00B90230"/>
    <w:rsid w:val="00BA5652"/>
    <w:rsid w:val="00BB3AFA"/>
    <w:rsid w:val="00BB5C26"/>
    <w:rsid w:val="00BB7A2D"/>
    <w:rsid w:val="00BC6290"/>
    <w:rsid w:val="00BD24E3"/>
    <w:rsid w:val="00C040B4"/>
    <w:rsid w:val="00C06A95"/>
    <w:rsid w:val="00C06C16"/>
    <w:rsid w:val="00C147BA"/>
    <w:rsid w:val="00C203C4"/>
    <w:rsid w:val="00C23584"/>
    <w:rsid w:val="00C239AB"/>
    <w:rsid w:val="00C426A1"/>
    <w:rsid w:val="00C4389E"/>
    <w:rsid w:val="00C4743A"/>
    <w:rsid w:val="00C47AE8"/>
    <w:rsid w:val="00C50744"/>
    <w:rsid w:val="00C5138B"/>
    <w:rsid w:val="00C52CA3"/>
    <w:rsid w:val="00C54488"/>
    <w:rsid w:val="00C60C0F"/>
    <w:rsid w:val="00C62494"/>
    <w:rsid w:val="00C70F52"/>
    <w:rsid w:val="00CA24AC"/>
    <w:rsid w:val="00CA7775"/>
    <w:rsid w:val="00CA7C10"/>
    <w:rsid w:val="00CB255B"/>
    <w:rsid w:val="00CB5025"/>
    <w:rsid w:val="00CC3C05"/>
    <w:rsid w:val="00CD29A1"/>
    <w:rsid w:val="00CE0A0C"/>
    <w:rsid w:val="00CE5834"/>
    <w:rsid w:val="00CE60D5"/>
    <w:rsid w:val="00CE7BE5"/>
    <w:rsid w:val="00CF35EB"/>
    <w:rsid w:val="00CF392E"/>
    <w:rsid w:val="00D27F9E"/>
    <w:rsid w:val="00D54DD5"/>
    <w:rsid w:val="00D56708"/>
    <w:rsid w:val="00D6107C"/>
    <w:rsid w:val="00D66EB5"/>
    <w:rsid w:val="00D72465"/>
    <w:rsid w:val="00D84483"/>
    <w:rsid w:val="00D9581C"/>
    <w:rsid w:val="00D96F29"/>
    <w:rsid w:val="00DA1567"/>
    <w:rsid w:val="00DA240E"/>
    <w:rsid w:val="00DB13DB"/>
    <w:rsid w:val="00DB2437"/>
    <w:rsid w:val="00DB2865"/>
    <w:rsid w:val="00DC1DA1"/>
    <w:rsid w:val="00DD2811"/>
    <w:rsid w:val="00DE15E3"/>
    <w:rsid w:val="00DE58E9"/>
    <w:rsid w:val="00DF4EAF"/>
    <w:rsid w:val="00E03CF7"/>
    <w:rsid w:val="00E24810"/>
    <w:rsid w:val="00E36C17"/>
    <w:rsid w:val="00E44503"/>
    <w:rsid w:val="00E4599E"/>
    <w:rsid w:val="00E5504E"/>
    <w:rsid w:val="00E7489A"/>
    <w:rsid w:val="00E858C4"/>
    <w:rsid w:val="00E8734E"/>
    <w:rsid w:val="00EA4CBE"/>
    <w:rsid w:val="00ED5203"/>
    <w:rsid w:val="00EE1D9A"/>
    <w:rsid w:val="00F03DDE"/>
    <w:rsid w:val="00F046C6"/>
    <w:rsid w:val="00F04847"/>
    <w:rsid w:val="00F23DC0"/>
    <w:rsid w:val="00F31C90"/>
    <w:rsid w:val="00F33BD8"/>
    <w:rsid w:val="00F35C1F"/>
    <w:rsid w:val="00F41FBC"/>
    <w:rsid w:val="00F523BF"/>
    <w:rsid w:val="00F65B2C"/>
    <w:rsid w:val="00F84C6F"/>
    <w:rsid w:val="00F8626C"/>
    <w:rsid w:val="00F873BE"/>
    <w:rsid w:val="00FA2C2A"/>
    <w:rsid w:val="00FC2DE6"/>
    <w:rsid w:val="00FE06AC"/>
    <w:rsid w:val="00FF46D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ACD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3584"/>
    <w:rPr>
      <w:rFonts w:ascii="Arial" w:hAnsi="Arial"/>
    </w:rPr>
  </w:style>
  <w:style w:type="paragraph" w:styleId="Heading2">
    <w:name w:val="heading 2"/>
    <w:basedOn w:val="Normal"/>
    <w:next w:val="Normal"/>
    <w:link w:val="Heading2Char"/>
    <w:uiPriority w:val="9"/>
    <w:semiHidden/>
    <w:unhideWhenUsed/>
    <w:qFormat/>
    <w:rsid w:val="00C52CA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858C4"/>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6C17"/>
    <w:pPr>
      <w:spacing w:before="100" w:beforeAutospacing="1" w:after="100" w:afterAutospacing="1"/>
    </w:pPr>
    <w:rPr>
      <w:rFonts w:ascii="Times" w:hAnsi="Times"/>
      <w:sz w:val="20"/>
      <w:szCs w:val="20"/>
    </w:rPr>
  </w:style>
  <w:style w:type="paragraph" w:styleId="Revision">
    <w:name w:val="Revision"/>
    <w:hidden/>
    <w:uiPriority w:val="99"/>
    <w:semiHidden/>
    <w:rsid w:val="00E24810"/>
  </w:style>
  <w:style w:type="paragraph" w:styleId="BalloonText">
    <w:name w:val="Balloon Text"/>
    <w:basedOn w:val="Normal"/>
    <w:link w:val="BalloonTextChar"/>
    <w:uiPriority w:val="99"/>
    <w:semiHidden/>
    <w:unhideWhenUsed/>
    <w:rsid w:val="00E2481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4810"/>
    <w:rPr>
      <w:rFonts w:ascii="Lucida Grande" w:hAnsi="Lucida Grande" w:cs="Lucida Grande"/>
      <w:sz w:val="18"/>
      <w:szCs w:val="18"/>
    </w:rPr>
  </w:style>
  <w:style w:type="paragraph" w:styleId="Header">
    <w:name w:val="header"/>
    <w:basedOn w:val="Normal"/>
    <w:link w:val="HeaderChar"/>
    <w:uiPriority w:val="99"/>
    <w:unhideWhenUsed/>
    <w:rsid w:val="00C040B4"/>
    <w:pPr>
      <w:tabs>
        <w:tab w:val="center" w:pos="4320"/>
        <w:tab w:val="right" w:pos="8640"/>
      </w:tabs>
    </w:pPr>
  </w:style>
  <w:style w:type="character" w:customStyle="1" w:styleId="HeaderChar">
    <w:name w:val="Header Char"/>
    <w:basedOn w:val="DefaultParagraphFont"/>
    <w:link w:val="Header"/>
    <w:uiPriority w:val="99"/>
    <w:rsid w:val="00C040B4"/>
  </w:style>
  <w:style w:type="paragraph" w:styleId="Footer">
    <w:name w:val="footer"/>
    <w:basedOn w:val="Normal"/>
    <w:link w:val="FooterChar"/>
    <w:uiPriority w:val="99"/>
    <w:unhideWhenUsed/>
    <w:rsid w:val="00C040B4"/>
    <w:pPr>
      <w:tabs>
        <w:tab w:val="center" w:pos="4320"/>
        <w:tab w:val="right" w:pos="8640"/>
      </w:tabs>
    </w:pPr>
  </w:style>
  <w:style w:type="character" w:customStyle="1" w:styleId="FooterChar">
    <w:name w:val="Footer Char"/>
    <w:basedOn w:val="DefaultParagraphFont"/>
    <w:link w:val="Footer"/>
    <w:uiPriority w:val="99"/>
    <w:rsid w:val="00C040B4"/>
  </w:style>
  <w:style w:type="character" w:styleId="Hyperlink">
    <w:name w:val="Hyperlink"/>
    <w:basedOn w:val="DefaultParagraphFont"/>
    <w:uiPriority w:val="99"/>
    <w:unhideWhenUsed/>
    <w:rsid w:val="00CD29A1"/>
    <w:rPr>
      <w:color w:val="0000FF" w:themeColor="hyperlink"/>
      <w:u w:val="single"/>
    </w:rPr>
  </w:style>
  <w:style w:type="character" w:styleId="PageNumber">
    <w:name w:val="page number"/>
    <w:basedOn w:val="DefaultParagraphFont"/>
    <w:uiPriority w:val="99"/>
    <w:semiHidden/>
    <w:unhideWhenUsed/>
    <w:rsid w:val="004422F4"/>
  </w:style>
  <w:style w:type="character" w:styleId="FollowedHyperlink">
    <w:name w:val="FollowedHyperlink"/>
    <w:basedOn w:val="DefaultParagraphFont"/>
    <w:uiPriority w:val="99"/>
    <w:semiHidden/>
    <w:unhideWhenUsed/>
    <w:rsid w:val="004422F4"/>
    <w:rPr>
      <w:color w:val="800080" w:themeColor="followedHyperlink"/>
      <w:u w:val="single"/>
    </w:rPr>
  </w:style>
  <w:style w:type="character" w:customStyle="1" w:styleId="apple-converted-space">
    <w:name w:val="apple-converted-space"/>
    <w:basedOn w:val="DefaultParagraphFont"/>
    <w:rsid w:val="00CA24AC"/>
  </w:style>
  <w:style w:type="character" w:customStyle="1" w:styleId="il">
    <w:name w:val="il"/>
    <w:basedOn w:val="DefaultParagraphFont"/>
    <w:rsid w:val="00AF45C9"/>
  </w:style>
  <w:style w:type="character" w:customStyle="1" w:styleId="Heading3Char">
    <w:name w:val="Heading 3 Char"/>
    <w:basedOn w:val="DefaultParagraphFont"/>
    <w:link w:val="Heading3"/>
    <w:uiPriority w:val="9"/>
    <w:rsid w:val="00E858C4"/>
    <w:rPr>
      <w:rFonts w:ascii="Times" w:hAnsi="Times"/>
      <w:b/>
      <w:bCs/>
      <w:sz w:val="27"/>
      <w:szCs w:val="27"/>
    </w:rPr>
  </w:style>
  <w:style w:type="character" w:customStyle="1" w:styleId="author-ji9racfw7gmg">
    <w:name w:val="author-ji9racfw7gmg"/>
    <w:basedOn w:val="DefaultParagraphFont"/>
    <w:rsid w:val="00DF4EAF"/>
  </w:style>
  <w:style w:type="character" w:styleId="CommentReference">
    <w:name w:val="annotation reference"/>
    <w:basedOn w:val="DefaultParagraphFont"/>
    <w:uiPriority w:val="99"/>
    <w:semiHidden/>
    <w:unhideWhenUsed/>
    <w:rsid w:val="00BB7A2D"/>
    <w:rPr>
      <w:sz w:val="16"/>
      <w:szCs w:val="16"/>
    </w:rPr>
  </w:style>
  <w:style w:type="paragraph" w:styleId="CommentText">
    <w:name w:val="annotation text"/>
    <w:basedOn w:val="Normal"/>
    <w:link w:val="CommentTextChar"/>
    <w:uiPriority w:val="99"/>
    <w:semiHidden/>
    <w:unhideWhenUsed/>
    <w:rsid w:val="00BB7A2D"/>
    <w:rPr>
      <w:sz w:val="20"/>
      <w:szCs w:val="20"/>
    </w:rPr>
  </w:style>
  <w:style w:type="character" w:customStyle="1" w:styleId="CommentTextChar">
    <w:name w:val="Comment Text Char"/>
    <w:basedOn w:val="DefaultParagraphFont"/>
    <w:link w:val="CommentText"/>
    <w:uiPriority w:val="99"/>
    <w:semiHidden/>
    <w:rsid w:val="00BB7A2D"/>
    <w:rPr>
      <w:sz w:val="20"/>
      <w:szCs w:val="20"/>
    </w:rPr>
  </w:style>
  <w:style w:type="paragraph" w:styleId="CommentSubject">
    <w:name w:val="annotation subject"/>
    <w:basedOn w:val="CommentText"/>
    <w:next w:val="CommentText"/>
    <w:link w:val="CommentSubjectChar"/>
    <w:uiPriority w:val="99"/>
    <w:semiHidden/>
    <w:unhideWhenUsed/>
    <w:rsid w:val="00BB7A2D"/>
    <w:rPr>
      <w:b/>
      <w:bCs/>
    </w:rPr>
  </w:style>
  <w:style w:type="character" w:customStyle="1" w:styleId="CommentSubjectChar">
    <w:name w:val="Comment Subject Char"/>
    <w:basedOn w:val="CommentTextChar"/>
    <w:link w:val="CommentSubject"/>
    <w:uiPriority w:val="99"/>
    <w:semiHidden/>
    <w:rsid w:val="00BB7A2D"/>
    <w:rPr>
      <w:b/>
      <w:bCs/>
      <w:sz w:val="20"/>
      <w:szCs w:val="20"/>
    </w:rPr>
  </w:style>
  <w:style w:type="character" w:customStyle="1" w:styleId="Heading2Char">
    <w:name w:val="Heading 2 Char"/>
    <w:basedOn w:val="DefaultParagraphFont"/>
    <w:link w:val="Heading2"/>
    <w:uiPriority w:val="9"/>
    <w:semiHidden/>
    <w:rsid w:val="00C52CA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C52CA3"/>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C52CA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3584"/>
    <w:rPr>
      <w:rFonts w:ascii="Arial" w:hAnsi="Arial"/>
    </w:rPr>
  </w:style>
  <w:style w:type="paragraph" w:styleId="Heading2">
    <w:name w:val="heading 2"/>
    <w:basedOn w:val="Normal"/>
    <w:next w:val="Normal"/>
    <w:link w:val="Heading2Char"/>
    <w:uiPriority w:val="9"/>
    <w:semiHidden/>
    <w:unhideWhenUsed/>
    <w:qFormat/>
    <w:rsid w:val="00C52CA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858C4"/>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6C17"/>
    <w:pPr>
      <w:spacing w:before="100" w:beforeAutospacing="1" w:after="100" w:afterAutospacing="1"/>
    </w:pPr>
    <w:rPr>
      <w:rFonts w:ascii="Times" w:hAnsi="Times"/>
      <w:sz w:val="20"/>
      <w:szCs w:val="20"/>
    </w:rPr>
  </w:style>
  <w:style w:type="paragraph" w:styleId="Revision">
    <w:name w:val="Revision"/>
    <w:hidden/>
    <w:uiPriority w:val="99"/>
    <w:semiHidden/>
    <w:rsid w:val="00E24810"/>
  </w:style>
  <w:style w:type="paragraph" w:styleId="BalloonText">
    <w:name w:val="Balloon Text"/>
    <w:basedOn w:val="Normal"/>
    <w:link w:val="BalloonTextChar"/>
    <w:uiPriority w:val="99"/>
    <w:semiHidden/>
    <w:unhideWhenUsed/>
    <w:rsid w:val="00E2481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4810"/>
    <w:rPr>
      <w:rFonts w:ascii="Lucida Grande" w:hAnsi="Lucida Grande" w:cs="Lucida Grande"/>
      <w:sz w:val="18"/>
      <w:szCs w:val="18"/>
    </w:rPr>
  </w:style>
  <w:style w:type="paragraph" w:styleId="Header">
    <w:name w:val="header"/>
    <w:basedOn w:val="Normal"/>
    <w:link w:val="HeaderChar"/>
    <w:uiPriority w:val="99"/>
    <w:unhideWhenUsed/>
    <w:rsid w:val="00C040B4"/>
    <w:pPr>
      <w:tabs>
        <w:tab w:val="center" w:pos="4320"/>
        <w:tab w:val="right" w:pos="8640"/>
      </w:tabs>
    </w:pPr>
  </w:style>
  <w:style w:type="character" w:customStyle="1" w:styleId="HeaderChar">
    <w:name w:val="Header Char"/>
    <w:basedOn w:val="DefaultParagraphFont"/>
    <w:link w:val="Header"/>
    <w:uiPriority w:val="99"/>
    <w:rsid w:val="00C040B4"/>
  </w:style>
  <w:style w:type="paragraph" w:styleId="Footer">
    <w:name w:val="footer"/>
    <w:basedOn w:val="Normal"/>
    <w:link w:val="FooterChar"/>
    <w:uiPriority w:val="99"/>
    <w:unhideWhenUsed/>
    <w:rsid w:val="00C040B4"/>
    <w:pPr>
      <w:tabs>
        <w:tab w:val="center" w:pos="4320"/>
        <w:tab w:val="right" w:pos="8640"/>
      </w:tabs>
    </w:pPr>
  </w:style>
  <w:style w:type="character" w:customStyle="1" w:styleId="FooterChar">
    <w:name w:val="Footer Char"/>
    <w:basedOn w:val="DefaultParagraphFont"/>
    <w:link w:val="Footer"/>
    <w:uiPriority w:val="99"/>
    <w:rsid w:val="00C040B4"/>
  </w:style>
  <w:style w:type="character" w:styleId="Hyperlink">
    <w:name w:val="Hyperlink"/>
    <w:basedOn w:val="DefaultParagraphFont"/>
    <w:uiPriority w:val="99"/>
    <w:unhideWhenUsed/>
    <w:rsid w:val="00CD29A1"/>
    <w:rPr>
      <w:color w:val="0000FF" w:themeColor="hyperlink"/>
      <w:u w:val="single"/>
    </w:rPr>
  </w:style>
  <w:style w:type="character" w:styleId="PageNumber">
    <w:name w:val="page number"/>
    <w:basedOn w:val="DefaultParagraphFont"/>
    <w:uiPriority w:val="99"/>
    <w:semiHidden/>
    <w:unhideWhenUsed/>
    <w:rsid w:val="004422F4"/>
  </w:style>
  <w:style w:type="character" w:styleId="FollowedHyperlink">
    <w:name w:val="FollowedHyperlink"/>
    <w:basedOn w:val="DefaultParagraphFont"/>
    <w:uiPriority w:val="99"/>
    <w:semiHidden/>
    <w:unhideWhenUsed/>
    <w:rsid w:val="004422F4"/>
    <w:rPr>
      <w:color w:val="800080" w:themeColor="followedHyperlink"/>
      <w:u w:val="single"/>
    </w:rPr>
  </w:style>
  <w:style w:type="character" w:customStyle="1" w:styleId="apple-converted-space">
    <w:name w:val="apple-converted-space"/>
    <w:basedOn w:val="DefaultParagraphFont"/>
    <w:rsid w:val="00CA24AC"/>
  </w:style>
  <w:style w:type="character" w:customStyle="1" w:styleId="il">
    <w:name w:val="il"/>
    <w:basedOn w:val="DefaultParagraphFont"/>
    <w:rsid w:val="00AF45C9"/>
  </w:style>
  <w:style w:type="character" w:customStyle="1" w:styleId="Heading3Char">
    <w:name w:val="Heading 3 Char"/>
    <w:basedOn w:val="DefaultParagraphFont"/>
    <w:link w:val="Heading3"/>
    <w:uiPriority w:val="9"/>
    <w:rsid w:val="00E858C4"/>
    <w:rPr>
      <w:rFonts w:ascii="Times" w:hAnsi="Times"/>
      <w:b/>
      <w:bCs/>
      <w:sz w:val="27"/>
      <w:szCs w:val="27"/>
    </w:rPr>
  </w:style>
  <w:style w:type="character" w:customStyle="1" w:styleId="author-ji9racfw7gmg">
    <w:name w:val="author-ji9racfw7gmg"/>
    <w:basedOn w:val="DefaultParagraphFont"/>
    <w:rsid w:val="00DF4EAF"/>
  </w:style>
  <w:style w:type="character" w:styleId="CommentReference">
    <w:name w:val="annotation reference"/>
    <w:basedOn w:val="DefaultParagraphFont"/>
    <w:uiPriority w:val="99"/>
    <w:semiHidden/>
    <w:unhideWhenUsed/>
    <w:rsid w:val="00BB7A2D"/>
    <w:rPr>
      <w:sz w:val="16"/>
      <w:szCs w:val="16"/>
    </w:rPr>
  </w:style>
  <w:style w:type="paragraph" w:styleId="CommentText">
    <w:name w:val="annotation text"/>
    <w:basedOn w:val="Normal"/>
    <w:link w:val="CommentTextChar"/>
    <w:uiPriority w:val="99"/>
    <w:semiHidden/>
    <w:unhideWhenUsed/>
    <w:rsid w:val="00BB7A2D"/>
    <w:rPr>
      <w:sz w:val="20"/>
      <w:szCs w:val="20"/>
    </w:rPr>
  </w:style>
  <w:style w:type="character" w:customStyle="1" w:styleId="CommentTextChar">
    <w:name w:val="Comment Text Char"/>
    <w:basedOn w:val="DefaultParagraphFont"/>
    <w:link w:val="CommentText"/>
    <w:uiPriority w:val="99"/>
    <w:semiHidden/>
    <w:rsid w:val="00BB7A2D"/>
    <w:rPr>
      <w:sz w:val="20"/>
      <w:szCs w:val="20"/>
    </w:rPr>
  </w:style>
  <w:style w:type="paragraph" w:styleId="CommentSubject">
    <w:name w:val="annotation subject"/>
    <w:basedOn w:val="CommentText"/>
    <w:next w:val="CommentText"/>
    <w:link w:val="CommentSubjectChar"/>
    <w:uiPriority w:val="99"/>
    <w:semiHidden/>
    <w:unhideWhenUsed/>
    <w:rsid w:val="00BB7A2D"/>
    <w:rPr>
      <w:b/>
      <w:bCs/>
    </w:rPr>
  </w:style>
  <w:style w:type="character" w:customStyle="1" w:styleId="CommentSubjectChar">
    <w:name w:val="Comment Subject Char"/>
    <w:basedOn w:val="CommentTextChar"/>
    <w:link w:val="CommentSubject"/>
    <w:uiPriority w:val="99"/>
    <w:semiHidden/>
    <w:rsid w:val="00BB7A2D"/>
    <w:rPr>
      <w:b/>
      <w:bCs/>
      <w:sz w:val="20"/>
      <w:szCs w:val="20"/>
    </w:rPr>
  </w:style>
  <w:style w:type="character" w:customStyle="1" w:styleId="Heading2Char">
    <w:name w:val="Heading 2 Char"/>
    <w:basedOn w:val="DefaultParagraphFont"/>
    <w:link w:val="Heading2"/>
    <w:uiPriority w:val="9"/>
    <w:semiHidden/>
    <w:rsid w:val="00C52CA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C52CA3"/>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C52CA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2327">
      <w:bodyDiv w:val="1"/>
      <w:marLeft w:val="0"/>
      <w:marRight w:val="0"/>
      <w:marTop w:val="0"/>
      <w:marBottom w:val="0"/>
      <w:divBdr>
        <w:top w:val="none" w:sz="0" w:space="0" w:color="auto"/>
        <w:left w:val="none" w:sz="0" w:space="0" w:color="auto"/>
        <w:bottom w:val="none" w:sz="0" w:space="0" w:color="auto"/>
        <w:right w:val="none" w:sz="0" w:space="0" w:color="auto"/>
      </w:divBdr>
    </w:div>
    <w:div w:id="75247555">
      <w:bodyDiv w:val="1"/>
      <w:marLeft w:val="0"/>
      <w:marRight w:val="0"/>
      <w:marTop w:val="0"/>
      <w:marBottom w:val="0"/>
      <w:divBdr>
        <w:top w:val="none" w:sz="0" w:space="0" w:color="auto"/>
        <w:left w:val="none" w:sz="0" w:space="0" w:color="auto"/>
        <w:bottom w:val="none" w:sz="0" w:space="0" w:color="auto"/>
        <w:right w:val="none" w:sz="0" w:space="0" w:color="auto"/>
      </w:divBdr>
    </w:div>
    <w:div w:id="92938969">
      <w:bodyDiv w:val="1"/>
      <w:marLeft w:val="0"/>
      <w:marRight w:val="0"/>
      <w:marTop w:val="0"/>
      <w:marBottom w:val="0"/>
      <w:divBdr>
        <w:top w:val="none" w:sz="0" w:space="0" w:color="auto"/>
        <w:left w:val="none" w:sz="0" w:space="0" w:color="auto"/>
        <w:bottom w:val="none" w:sz="0" w:space="0" w:color="auto"/>
        <w:right w:val="none" w:sz="0" w:space="0" w:color="auto"/>
      </w:divBdr>
    </w:div>
    <w:div w:id="153692991">
      <w:bodyDiv w:val="1"/>
      <w:marLeft w:val="0"/>
      <w:marRight w:val="0"/>
      <w:marTop w:val="0"/>
      <w:marBottom w:val="0"/>
      <w:divBdr>
        <w:top w:val="none" w:sz="0" w:space="0" w:color="auto"/>
        <w:left w:val="none" w:sz="0" w:space="0" w:color="auto"/>
        <w:bottom w:val="none" w:sz="0" w:space="0" w:color="auto"/>
        <w:right w:val="none" w:sz="0" w:space="0" w:color="auto"/>
      </w:divBdr>
    </w:div>
    <w:div w:id="155658459">
      <w:bodyDiv w:val="1"/>
      <w:marLeft w:val="0"/>
      <w:marRight w:val="0"/>
      <w:marTop w:val="0"/>
      <w:marBottom w:val="0"/>
      <w:divBdr>
        <w:top w:val="none" w:sz="0" w:space="0" w:color="auto"/>
        <w:left w:val="none" w:sz="0" w:space="0" w:color="auto"/>
        <w:bottom w:val="none" w:sz="0" w:space="0" w:color="auto"/>
        <w:right w:val="none" w:sz="0" w:space="0" w:color="auto"/>
      </w:divBdr>
    </w:div>
    <w:div w:id="183442899">
      <w:bodyDiv w:val="1"/>
      <w:marLeft w:val="0"/>
      <w:marRight w:val="0"/>
      <w:marTop w:val="0"/>
      <w:marBottom w:val="0"/>
      <w:divBdr>
        <w:top w:val="none" w:sz="0" w:space="0" w:color="auto"/>
        <w:left w:val="none" w:sz="0" w:space="0" w:color="auto"/>
        <w:bottom w:val="none" w:sz="0" w:space="0" w:color="auto"/>
        <w:right w:val="none" w:sz="0" w:space="0" w:color="auto"/>
      </w:divBdr>
    </w:div>
    <w:div w:id="242498528">
      <w:bodyDiv w:val="1"/>
      <w:marLeft w:val="0"/>
      <w:marRight w:val="0"/>
      <w:marTop w:val="0"/>
      <w:marBottom w:val="0"/>
      <w:divBdr>
        <w:top w:val="none" w:sz="0" w:space="0" w:color="auto"/>
        <w:left w:val="none" w:sz="0" w:space="0" w:color="auto"/>
        <w:bottom w:val="none" w:sz="0" w:space="0" w:color="auto"/>
        <w:right w:val="none" w:sz="0" w:space="0" w:color="auto"/>
      </w:divBdr>
    </w:div>
    <w:div w:id="252011731">
      <w:bodyDiv w:val="1"/>
      <w:marLeft w:val="0"/>
      <w:marRight w:val="0"/>
      <w:marTop w:val="0"/>
      <w:marBottom w:val="0"/>
      <w:divBdr>
        <w:top w:val="none" w:sz="0" w:space="0" w:color="auto"/>
        <w:left w:val="none" w:sz="0" w:space="0" w:color="auto"/>
        <w:bottom w:val="none" w:sz="0" w:space="0" w:color="auto"/>
        <w:right w:val="none" w:sz="0" w:space="0" w:color="auto"/>
      </w:divBdr>
    </w:div>
    <w:div w:id="287977409">
      <w:bodyDiv w:val="1"/>
      <w:marLeft w:val="0"/>
      <w:marRight w:val="0"/>
      <w:marTop w:val="0"/>
      <w:marBottom w:val="0"/>
      <w:divBdr>
        <w:top w:val="none" w:sz="0" w:space="0" w:color="auto"/>
        <w:left w:val="none" w:sz="0" w:space="0" w:color="auto"/>
        <w:bottom w:val="none" w:sz="0" w:space="0" w:color="auto"/>
        <w:right w:val="none" w:sz="0" w:space="0" w:color="auto"/>
      </w:divBdr>
    </w:div>
    <w:div w:id="387343118">
      <w:bodyDiv w:val="1"/>
      <w:marLeft w:val="0"/>
      <w:marRight w:val="0"/>
      <w:marTop w:val="0"/>
      <w:marBottom w:val="0"/>
      <w:divBdr>
        <w:top w:val="none" w:sz="0" w:space="0" w:color="auto"/>
        <w:left w:val="none" w:sz="0" w:space="0" w:color="auto"/>
        <w:bottom w:val="none" w:sz="0" w:space="0" w:color="auto"/>
        <w:right w:val="none" w:sz="0" w:space="0" w:color="auto"/>
      </w:divBdr>
    </w:div>
    <w:div w:id="400057464">
      <w:bodyDiv w:val="1"/>
      <w:marLeft w:val="0"/>
      <w:marRight w:val="0"/>
      <w:marTop w:val="0"/>
      <w:marBottom w:val="0"/>
      <w:divBdr>
        <w:top w:val="none" w:sz="0" w:space="0" w:color="auto"/>
        <w:left w:val="none" w:sz="0" w:space="0" w:color="auto"/>
        <w:bottom w:val="none" w:sz="0" w:space="0" w:color="auto"/>
        <w:right w:val="none" w:sz="0" w:space="0" w:color="auto"/>
      </w:divBdr>
    </w:div>
    <w:div w:id="465968812">
      <w:bodyDiv w:val="1"/>
      <w:marLeft w:val="0"/>
      <w:marRight w:val="0"/>
      <w:marTop w:val="0"/>
      <w:marBottom w:val="0"/>
      <w:divBdr>
        <w:top w:val="none" w:sz="0" w:space="0" w:color="auto"/>
        <w:left w:val="none" w:sz="0" w:space="0" w:color="auto"/>
        <w:bottom w:val="none" w:sz="0" w:space="0" w:color="auto"/>
        <w:right w:val="none" w:sz="0" w:space="0" w:color="auto"/>
      </w:divBdr>
      <w:divsChild>
        <w:div w:id="938827857">
          <w:marLeft w:val="0"/>
          <w:marRight w:val="0"/>
          <w:marTop w:val="0"/>
          <w:marBottom w:val="0"/>
          <w:divBdr>
            <w:top w:val="none" w:sz="0" w:space="0" w:color="auto"/>
            <w:left w:val="none" w:sz="0" w:space="0" w:color="auto"/>
            <w:bottom w:val="none" w:sz="0" w:space="0" w:color="auto"/>
            <w:right w:val="none" w:sz="0" w:space="0" w:color="auto"/>
          </w:divBdr>
          <w:divsChild>
            <w:div w:id="1556962789">
              <w:marLeft w:val="0"/>
              <w:marRight w:val="0"/>
              <w:marTop w:val="0"/>
              <w:marBottom w:val="0"/>
              <w:divBdr>
                <w:top w:val="single" w:sz="6" w:space="0" w:color="DDDDDD"/>
                <w:left w:val="single" w:sz="6" w:space="0" w:color="DDDDDD"/>
                <w:bottom w:val="single" w:sz="6" w:space="0" w:color="DDDDDD"/>
                <w:right w:val="single" w:sz="6" w:space="0" w:color="DDDDDD"/>
              </w:divBdr>
              <w:divsChild>
                <w:div w:id="1238445105">
                  <w:marLeft w:val="0"/>
                  <w:marRight w:val="0"/>
                  <w:marTop w:val="0"/>
                  <w:marBottom w:val="0"/>
                  <w:divBdr>
                    <w:top w:val="none" w:sz="0" w:space="0" w:color="auto"/>
                    <w:left w:val="none" w:sz="0" w:space="0" w:color="auto"/>
                    <w:bottom w:val="none" w:sz="0" w:space="0" w:color="auto"/>
                    <w:right w:val="none" w:sz="0" w:space="0" w:color="auto"/>
                  </w:divBdr>
                  <w:divsChild>
                    <w:div w:id="1194151379">
                      <w:marLeft w:val="0"/>
                      <w:marRight w:val="0"/>
                      <w:marTop w:val="0"/>
                      <w:marBottom w:val="0"/>
                      <w:divBdr>
                        <w:top w:val="none" w:sz="0" w:space="0" w:color="auto"/>
                        <w:left w:val="none" w:sz="0" w:space="0" w:color="auto"/>
                        <w:bottom w:val="none" w:sz="0" w:space="0" w:color="auto"/>
                        <w:right w:val="none" w:sz="0" w:space="0" w:color="auto"/>
                      </w:divBdr>
                      <w:divsChild>
                        <w:div w:id="2129659329">
                          <w:marLeft w:val="0"/>
                          <w:marRight w:val="0"/>
                          <w:marTop w:val="0"/>
                          <w:marBottom w:val="0"/>
                          <w:divBdr>
                            <w:top w:val="none" w:sz="0" w:space="0" w:color="auto"/>
                            <w:left w:val="none" w:sz="0" w:space="0" w:color="auto"/>
                            <w:bottom w:val="none" w:sz="0" w:space="0" w:color="auto"/>
                            <w:right w:val="none" w:sz="0" w:space="0" w:color="auto"/>
                          </w:divBdr>
                          <w:divsChild>
                            <w:div w:id="413472523">
                              <w:marLeft w:val="0"/>
                              <w:marRight w:val="0"/>
                              <w:marTop w:val="0"/>
                              <w:marBottom w:val="0"/>
                              <w:divBdr>
                                <w:top w:val="none" w:sz="0" w:space="0" w:color="auto"/>
                                <w:left w:val="none" w:sz="0" w:space="0" w:color="auto"/>
                                <w:bottom w:val="none" w:sz="0" w:space="0" w:color="auto"/>
                                <w:right w:val="none" w:sz="0" w:space="0" w:color="auto"/>
                              </w:divBdr>
                              <w:divsChild>
                                <w:div w:id="1758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1919140">
      <w:bodyDiv w:val="1"/>
      <w:marLeft w:val="0"/>
      <w:marRight w:val="0"/>
      <w:marTop w:val="0"/>
      <w:marBottom w:val="0"/>
      <w:divBdr>
        <w:top w:val="none" w:sz="0" w:space="0" w:color="auto"/>
        <w:left w:val="none" w:sz="0" w:space="0" w:color="auto"/>
        <w:bottom w:val="none" w:sz="0" w:space="0" w:color="auto"/>
        <w:right w:val="none" w:sz="0" w:space="0" w:color="auto"/>
      </w:divBdr>
    </w:div>
    <w:div w:id="550046148">
      <w:bodyDiv w:val="1"/>
      <w:marLeft w:val="0"/>
      <w:marRight w:val="0"/>
      <w:marTop w:val="0"/>
      <w:marBottom w:val="0"/>
      <w:divBdr>
        <w:top w:val="none" w:sz="0" w:space="0" w:color="auto"/>
        <w:left w:val="none" w:sz="0" w:space="0" w:color="auto"/>
        <w:bottom w:val="none" w:sz="0" w:space="0" w:color="auto"/>
        <w:right w:val="none" w:sz="0" w:space="0" w:color="auto"/>
      </w:divBdr>
    </w:div>
    <w:div w:id="550532700">
      <w:bodyDiv w:val="1"/>
      <w:marLeft w:val="0"/>
      <w:marRight w:val="0"/>
      <w:marTop w:val="0"/>
      <w:marBottom w:val="0"/>
      <w:divBdr>
        <w:top w:val="none" w:sz="0" w:space="0" w:color="auto"/>
        <w:left w:val="none" w:sz="0" w:space="0" w:color="auto"/>
        <w:bottom w:val="none" w:sz="0" w:space="0" w:color="auto"/>
        <w:right w:val="none" w:sz="0" w:space="0" w:color="auto"/>
      </w:divBdr>
    </w:div>
    <w:div w:id="583035238">
      <w:bodyDiv w:val="1"/>
      <w:marLeft w:val="0"/>
      <w:marRight w:val="0"/>
      <w:marTop w:val="0"/>
      <w:marBottom w:val="0"/>
      <w:divBdr>
        <w:top w:val="none" w:sz="0" w:space="0" w:color="auto"/>
        <w:left w:val="none" w:sz="0" w:space="0" w:color="auto"/>
        <w:bottom w:val="none" w:sz="0" w:space="0" w:color="auto"/>
        <w:right w:val="none" w:sz="0" w:space="0" w:color="auto"/>
      </w:divBdr>
    </w:div>
    <w:div w:id="640616296">
      <w:bodyDiv w:val="1"/>
      <w:marLeft w:val="0"/>
      <w:marRight w:val="0"/>
      <w:marTop w:val="0"/>
      <w:marBottom w:val="0"/>
      <w:divBdr>
        <w:top w:val="none" w:sz="0" w:space="0" w:color="auto"/>
        <w:left w:val="none" w:sz="0" w:space="0" w:color="auto"/>
        <w:bottom w:val="none" w:sz="0" w:space="0" w:color="auto"/>
        <w:right w:val="none" w:sz="0" w:space="0" w:color="auto"/>
      </w:divBdr>
    </w:div>
    <w:div w:id="661544456">
      <w:bodyDiv w:val="1"/>
      <w:marLeft w:val="0"/>
      <w:marRight w:val="0"/>
      <w:marTop w:val="0"/>
      <w:marBottom w:val="0"/>
      <w:divBdr>
        <w:top w:val="none" w:sz="0" w:space="0" w:color="auto"/>
        <w:left w:val="none" w:sz="0" w:space="0" w:color="auto"/>
        <w:bottom w:val="none" w:sz="0" w:space="0" w:color="auto"/>
        <w:right w:val="none" w:sz="0" w:space="0" w:color="auto"/>
      </w:divBdr>
    </w:div>
    <w:div w:id="695271709">
      <w:bodyDiv w:val="1"/>
      <w:marLeft w:val="0"/>
      <w:marRight w:val="0"/>
      <w:marTop w:val="0"/>
      <w:marBottom w:val="0"/>
      <w:divBdr>
        <w:top w:val="none" w:sz="0" w:space="0" w:color="auto"/>
        <w:left w:val="none" w:sz="0" w:space="0" w:color="auto"/>
        <w:bottom w:val="none" w:sz="0" w:space="0" w:color="auto"/>
        <w:right w:val="none" w:sz="0" w:space="0" w:color="auto"/>
      </w:divBdr>
    </w:div>
    <w:div w:id="695277672">
      <w:bodyDiv w:val="1"/>
      <w:marLeft w:val="0"/>
      <w:marRight w:val="0"/>
      <w:marTop w:val="0"/>
      <w:marBottom w:val="0"/>
      <w:divBdr>
        <w:top w:val="none" w:sz="0" w:space="0" w:color="auto"/>
        <w:left w:val="none" w:sz="0" w:space="0" w:color="auto"/>
        <w:bottom w:val="none" w:sz="0" w:space="0" w:color="auto"/>
        <w:right w:val="none" w:sz="0" w:space="0" w:color="auto"/>
      </w:divBdr>
    </w:div>
    <w:div w:id="722486731">
      <w:bodyDiv w:val="1"/>
      <w:marLeft w:val="0"/>
      <w:marRight w:val="0"/>
      <w:marTop w:val="0"/>
      <w:marBottom w:val="0"/>
      <w:divBdr>
        <w:top w:val="none" w:sz="0" w:space="0" w:color="auto"/>
        <w:left w:val="none" w:sz="0" w:space="0" w:color="auto"/>
        <w:bottom w:val="none" w:sz="0" w:space="0" w:color="auto"/>
        <w:right w:val="none" w:sz="0" w:space="0" w:color="auto"/>
      </w:divBdr>
    </w:div>
    <w:div w:id="783426437">
      <w:bodyDiv w:val="1"/>
      <w:marLeft w:val="0"/>
      <w:marRight w:val="0"/>
      <w:marTop w:val="0"/>
      <w:marBottom w:val="0"/>
      <w:divBdr>
        <w:top w:val="none" w:sz="0" w:space="0" w:color="auto"/>
        <w:left w:val="none" w:sz="0" w:space="0" w:color="auto"/>
        <w:bottom w:val="none" w:sz="0" w:space="0" w:color="auto"/>
        <w:right w:val="none" w:sz="0" w:space="0" w:color="auto"/>
      </w:divBdr>
    </w:div>
    <w:div w:id="855270055">
      <w:bodyDiv w:val="1"/>
      <w:marLeft w:val="0"/>
      <w:marRight w:val="0"/>
      <w:marTop w:val="0"/>
      <w:marBottom w:val="0"/>
      <w:divBdr>
        <w:top w:val="none" w:sz="0" w:space="0" w:color="auto"/>
        <w:left w:val="none" w:sz="0" w:space="0" w:color="auto"/>
        <w:bottom w:val="none" w:sz="0" w:space="0" w:color="auto"/>
        <w:right w:val="none" w:sz="0" w:space="0" w:color="auto"/>
      </w:divBdr>
    </w:div>
    <w:div w:id="894000441">
      <w:bodyDiv w:val="1"/>
      <w:marLeft w:val="0"/>
      <w:marRight w:val="0"/>
      <w:marTop w:val="0"/>
      <w:marBottom w:val="0"/>
      <w:divBdr>
        <w:top w:val="none" w:sz="0" w:space="0" w:color="auto"/>
        <w:left w:val="none" w:sz="0" w:space="0" w:color="auto"/>
        <w:bottom w:val="none" w:sz="0" w:space="0" w:color="auto"/>
        <w:right w:val="none" w:sz="0" w:space="0" w:color="auto"/>
      </w:divBdr>
    </w:div>
    <w:div w:id="915940347">
      <w:bodyDiv w:val="1"/>
      <w:marLeft w:val="0"/>
      <w:marRight w:val="0"/>
      <w:marTop w:val="0"/>
      <w:marBottom w:val="0"/>
      <w:divBdr>
        <w:top w:val="none" w:sz="0" w:space="0" w:color="auto"/>
        <w:left w:val="none" w:sz="0" w:space="0" w:color="auto"/>
        <w:bottom w:val="none" w:sz="0" w:space="0" w:color="auto"/>
        <w:right w:val="none" w:sz="0" w:space="0" w:color="auto"/>
      </w:divBdr>
    </w:div>
    <w:div w:id="921840393">
      <w:bodyDiv w:val="1"/>
      <w:marLeft w:val="0"/>
      <w:marRight w:val="0"/>
      <w:marTop w:val="0"/>
      <w:marBottom w:val="0"/>
      <w:divBdr>
        <w:top w:val="none" w:sz="0" w:space="0" w:color="auto"/>
        <w:left w:val="none" w:sz="0" w:space="0" w:color="auto"/>
        <w:bottom w:val="none" w:sz="0" w:space="0" w:color="auto"/>
        <w:right w:val="none" w:sz="0" w:space="0" w:color="auto"/>
      </w:divBdr>
    </w:div>
    <w:div w:id="993293415">
      <w:bodyDiv w:val="1"/>
      <w:marLeft w:val="0"/>
      <w:marRight w:val="0"/>
      <w:marTop w:val="0"/>
      <w:marBottom w:val="0"/>
      <w:divBdr>
        <w:top w:val="none" w:sz="0" w:space="0" w:color="auto"/>
        <w:left w:val="none" w:sz="0" w:space="0" w:color="auto"/>
        <w:bottom w:val="none" w:sz="0" w:space="0" w:color="auto"/>
        <w:right w:val="none" w:sz="0" w:space="0" w:color="auto"/>
      </w:divBdr>
    </w:div>
    <w:div w:id="1005085037">
      <w:bodyDiv w:val="1"/>
      <w:marLeft w:val="0"/>
      <w:marRight w:val="0"/>
      <w:marTop w:val="0"/>
      <w:marBottom w:val="0"/>
      <w:divBdr>
        <w:top w:val="none" w:sz="0" w:space="0" w:color="auto"/>
        <w:left w:val="none" w:sz="0" w:space="0" w:color="auto"/>
        <w:bottom w:val="none" w:sz="0" w:space="0" w:color="auto"/>
        <w:right w:val="none" w:sz="0" w:space="0" w:color="auto"/>
      </w:divBdr>
    </w:div>
    <w:div w:id="1024937257">
      <w:bodyDiv w:val="1"/>
      <w:marLeft w:val="0"/>
      <w:marRight w:val="0"/>
      <w:marTop w:val="0"/>
      <w:marBottom w:val="0"/>
      <w:divBdr>
        <w:top w:val="none" w:sz="0" w:space="0" w:color="auto"/>
        <w:left w:val="none" w:sz="0" w:space="0" w:color="auto"/>
        <w:bottom w:val="none" w:sz="0" w:space="0" w:color="auto"/>
        <w:right w:val="none" w:sz="0" w:space="0" w:color="auto"/>
      </w:divBdr>
    </w:div>
    <w:div w:id="1039432009">
      <w:bodyDiv w:val="1"/>
      <w:marLeft w:val="0"/>
      <w:marRight w:val="0"/>
      <w:marTop w:val="0"/>
      <w:marBottom w:val="0"/>
      <w:divBdr>
        <w:top w:val="none" w:sz="0" w:space="0" w:color="auto"/>
        <w:left w:val="none" w:sz="0" w:space="0" w:color="auto"/>
        <w:bottom w:val="none" w:sz="0" w:space="0" w:color="auto"/>
        <w:right w:val="none" w:sz="0" w:space="0" w:color="auto"/>
      </w:divBdr>
    </w:div>
    <w:div w:id="1161314981">
      <w:bodyDiv w:val="1"/>
      <w:marLeft w:val="0"/>
      <w:marRight w:val="0"/>
      <w:marTop w:val="0"/>
      <w:marBottom w:val="0"/>
      <w:divBdr>
        <w:top w:val="none" w:sz="0" w:space="0" w:color="auto"/>
        <w:left w:val="none" w:sz="0" w:space="0" w:color="auto"/>
        <w:bottom w:val="none" w:sz="0" w:space="0" w:color="auto"/>
        <w:right w:val="none" w:sz="0" w:space="0" w:color="auto"/>
      </w:divBdr>
    </w:div>
    <w:div w:id="1201163504">
      <w:bodyDiv w:val="1"/>
      <w:marLeft w:val="0"/>
      <w:marRight w:val="0"/>
      <w:marTop w:val="0"/>
      <w:marBottom w:val="0"/>
      <w:divBdr>
        <w:top w:val="none" w:sz="0" w:space="0" w:color="auto"/>
        <w:left w:val="none" w:sz="0" w:space="0" w:color="auto"/>
        <w:bottom w:val="none" w:sz="0" w:space="0" w:color="auto"/>
        <w:right w:val="none" w:sz="0" w:space="0" w:color="auto"/>
      </w:divBdr>
    </w:div>
    <w:div w:id="1224565806">
      <w:bodyDiv w:val="1"/>
      <w:marLeft w:val="0"/>
      <w:marRight w:val="0"/>
      <w:marTop w:val="0"/>
      <w:marBottom w:val="0"/>
      <w:divBdr>
        <w:top w:val="none" w:sz="0" w:space="0" w:color="auto"/>
        <w:left w:val="none" w:sz="0" w:space="0" w:color="auto"/>
        <w:bottom w:val="none" w:sz="0" w:space="0" w:color="auto"/>
        <w:right w:val="none" w:sz="0" w:space="0" w:color="auto"/>
      </w:divBdr>
    </w:div>
    <w:div w:id="1231232876">
      <w:bodyDiv w:val="1"/>
      <w:marLeft w:val="0"/>
      <w:marRight w:val="0"/>
      <w:marTop w:val="0"/>
      <w:marBottom w:val="0"/>
      <w:divBdr>
        <w:top w:val="none" w:sz="0" w:space="0" w:color="auto"/>
        <w:left w:val="none" w:sz="0" w:space="0" w:color="auto"/>
        <w:bottom w:val="none" w:sz="0" w:space="0" w:color="auto"/>
        <w:right w:val="none" w:sz="0" w:space="0" w:color="auto"/>
      </w:divBdr>
    </w:div>
    <w:div w:id="1311057388">
      <w:bodyDiv w:val="1"/>
      <w:marLeft w:val="0"/>
      <w:marRight w:val="0"/>
      <w:marTop w:val="0"/>
      <w:marBottom w:val="0"/>
      <w:divBdr>
        <w:top w:val="none" w:sz="0" w:space="0" w:color="auto"/>
        <w:left w:val="none" w:sz="0" w:space="0" w:color="auto"/>
        <w:bottom w:val="none" w:sz="0" w:space="0" w:color="auto"/>
        <w:right w:val="none" w:sz="0" w:space="0" w:color="auto"/>
      </w:divBdr>
    </w:div>
    <w:div w:id="1356997638">
      <w:bodyDiv w:val="1"/>
      <w:marLeft w:val="0"/>
      <w:marRight w:val="0"/>
      <w:marTop w:val="0"/>
      <w:marBottom w:val="0"/>
      <w:divBdr>
        <w:top w:val="none" w:sz="0" w:space="0" w:color="auto"/>
        <w:left w:val="none" w:sz="0" w:space="0" w:color="auto"/>
        <w:bottom w:val="none" w:sz="0" w:space="0" w:color="auto"/>
        <w:right w:val="none" w:sz="0" w:space="0" w:color="auto"/>
      </w:divBdr>
    </w:div>
    <w:div w:id="1368792097">
      <w:bodyDiv w:val="1"/>
      <w:marLeft w:val="0"/>
      <w:marRight w:val="0"/>
      <w:marTop w:val="0"/>
      <w:marBottom w:val="0"/>
      <w:divBdr>
        <w:top w:val="none" w:sz="0" w:space="0" w:color="auto"/>
        <w:left w:val="none" w:sz="0" w:space="0" w:color="auto"/>
        <w:bottom w:val="none" w:sz="0" w:space="0" w:color="auto"/>
        <w:right w:val="none" w:sz="0" w:space="0" w:color="auto"/>
      </w:divBdr>
    </w:div>
    <w:div w:id="1537038769">
      <w:bodyDiv w:val="1"/>
      <w:marLeft w:val="0"/>
      <w:marRight w:val="0"/>
      <w:marTop w:val="0"/>
      <w:marBottom w:val="0"/>
      <w:divBdr>
        <w:top w:val="none" w:sz="0" w:space="0" w:color="auto"/>
        <w:left w:val="none" w:sz="0" w:space="0" w:color="auto"/>
        <w:bottom w:val="none" w:sz="0" w:space="0" w:color="auto"/>
        <w:right w:val="none" w:sz="0" w:space="0" w:color="auto"/>
      </w:divBdr>
    </w:div>
    <w:div w:id="1557664839">
      <w:bodyDiv w:val="1"/>
      <w:marLeft w:val="0"/>
      <w:marRight w:val="0"/>
      <w:marTop w:val="0"/>
      <w:marBottom w:val="0"/>
      <w:divBdr>
        <w:top w:val="none" w:sz="0" w:space="0" w:color="auto"/>
        <w:left w:val="none" w:sz="0" w:space="0" w:color="auto"/>
        <w:bottom w:val="none" w:sz="0" w:space="0" w:color="auto"/>
        <w:right w:val="none" w:sz="0" w:space="0" w:color="auto"/>
      </w:divBdr>
    </w:div>
    <w:div w:id="1645423991">
      <w:bodyDiv w:val="1"/>
      <w:marLeft w:val="0"/>
      <w:marRight w:val="0"/>
      <w:marTop w:val="0"/>
      <w:marBottom w:val="0"/>
      <w:divBdr>
        <w:top w:val="none" w:sz="0" w:space="0" w:color="auto"/>
        <w:left w:val="none" w:sz="0" w:space="0" w:color="auto"/>
        <w:bottom w:val="none" w:sz="0" w:space="0" w:color="auto"/>
        <w:right w:val="none" w:sz="0" w:space="0" w:color="auto"/>
      </w:divBdr>
    </w:div>
    <w:div w:id="1717855017">
      <w:bodyDiv w:val="1"/>
      <w:marLeft w:val="0"/>
      <w:marRight w:val="0"/>
      <w:marTop w:val="0"/>
      <w:marBottom w:val="0"/>
      <w:divBdr>
        <w:top w:val="none" w:sz="0" w:space="0" w:color="auto"/>
        <w:left w:val="none" w:sz="0" w:space="0" w:color="auto"/>
        <w:bottom w:val="none" w:sz="0" w:space="0" w:color="auto"/>
        <w:right w:val="none" w:sz="0" w:space="0" w:color="auto"/>
      </w:divBdr>
    </w:div>
    <w:div w:id="1730033632">
      <w:bodyDiv w:val="1"/>
      <w:marLeft w:val="0"/>
      <w:marRight w:val="0"/>
      <w:marTop w:val="0"/>
      <w:marBottom w:val="0"/>
      <w:divBdr>
        <w:top w:val="none" w:sz="0" w:space="0" w:color="auto"/>
        <w:left w:val="none" w:sz="0" w:space="0" w:color="auto"/>
        <w:bottom w:val="none" w:sz="0" w:space="0" w:color="auto"/>
        <w:right w:val="none" w:sz="0" w:space="0" w:color="auto"/>
      </w:divBdr>
      <w:divsChild>
        <w:div w:id="653922600">
          <w:marLeft w:val="0"/>
          <w:marRight w:val="0"/>
          <w:marTop w:val="0"/>
          <w:marBottom w:val="0"/>
          <w:divBdr>
            <w:top w:val="none" w:sz="0" w:space="0" w:color="auto"/>
            <w:left w:val="none" w:sz="0" w:space="0" w:color="auto"/>
            <w:bottom w:val="none" w:sz="0" w:space="0" w:color="auto"/>
            <w:right w:val="none" w:sz="0" w:space="0" w:color="auto"/>
          </w:divBdr>
          <w:divsChild>
            <w:div w:id="378432253">
              <w:marLeft w:val="0"/>
              <w:marRight w:val="0"/>
              <w:marTop w:val="0"/>
              <w:marBottom w:val="0"/>
              <w:divBdr>
                <w:top w:val="none" w:sz="0" w:space="0" w:color="auto"/>
                <w:left w:val="none" w:sz="0" w:space="0" w:color="auto"/>
                <w:bottom w:val="none" w:sz="0" w:space="0" w:color="auto"/>
                <w:right w:val="none" w:sz="0" w:space="0" w:color="auto"/>
              </w:divBdr>
            </w:div>
          </w:divsChild>
        </w:div>
        <w:div w:id="915094777">
          <w:marLeft w:val="0"/>
          <w:marRight w:val="0"/>
          <w:marTop w:val="0"/>
          <w:marBottom w:val="0"/>
          <w:divBdr>
            <w:top w:val="none" w:sz="0" w:space="0" w:color="auto"/>
            <w:left w:val="none" w:sz="0" w:space="0" w:color="auto"/>
            <w:bottom w:val="none" w:sz="0" w:space="0" w:color="auto"/>
            <w:right w:val="none" w:sz="0" w:space="0" w:color="auto"/>
          </w:divBdr>
          <w:divsChild>
            <w:div w:id="1992126483">
              <w:marLeft w:val="0"/>
              <w:marRight w:val="0"/>
              <w:marTop w:val="0"/>
              <w:marBottom w:val="0"/>
              <w:divBdr>
                <w:top w:val="none" w:sz="0" w:space="0" w:color="auto"/>
                <w:left w:val="none" w:sz="0" w:space="0" w:color="auto"/>
                <w:bottom w:val="none" w:sz="0" w:space="0" w:color="auto"/>
                <w:right w:val="none" w:sz="0" w:space="0" w:color="auto"/>
              </w:divBdr>
            </w:div>
          </w:divsChild>
        </w:div>
        <w:div w:id="1584952542">
          <w:marLeft w:val="0"/>
          <w:marRight w:val="0"/>
          <w:marTop w:val="0"/>
          <w:marBottom w:val="0"/>
          <w:divBdr>
            <w:top w:val="none" w:sz="0" w:space="0" w:color="auto"/>
            <w:left w:val="none" w:sz="0" w:space="0" w:color="auto"/>
            <w:bottom w:val="none" w:sz="0" w:space="0" w:color="auto"/>
            <w:right w:val="none" w:sz="0" w:space="0" w:color="auto"/>
          </w:divBdr>
          <w:divsChild>
            <w:div w:id="749616899">
              <w:marLeft w:val="0"/>
              <w:marRight w:val="0"/>
              <w:marTop w:val="0"/>
              <w:marBottom w:val="0"/>
              <w:divBdr>
                <w:top w:val="none" w:sz="0" w:space="0" w:color="auto"/>
                <w:left w:val="none" w:sz="0" w:space="0" w:color="auto"/>
                <w:bottom w:val="none" w:sz="0" w:space="0" w:color="auto"/>
                <w:right w:val="none" w:sz="0" w:space="0" w:color="auto"/>
              </w:divBdr>
            </w:div>
          </w:divsChild>
        </w:div>
        <w:div w:id="1927641944">
          <w:marLeft w:val="0"/>
          <w:marRight w:val="0"/>
          <w:marTop w:val="0"/>
          <w:marBottom w:val="0"/>
          <w:divBdr>
            <w:top w:val="none" w:sz="0" w:space="0" w:color="auto"/>
            <w:left w:val="none" w:sz="0" w:space="0" w:color="auto"/>
            <w:bottom w:val="none" w:sz="0" w:space="0" w:color="auto"/>
            <w:right w:val="none" w:sz="0" w:space="0" w:color="auto"/>
          </w:divBdr>
          <w:divsChild>
            <w:div w:id="36190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44288">
      <w:bodyDiv w:val="1"/>
      <w:marLeft w:val="0"/>
      <w:marRight w:val="0"/>
      <w:marTop w:val="0"/>
      <w:marBottom w:val="0"/>
      <w:divBdr>
        <w:top w:val="none" w:sz="0" w:space="0" w:color="auto"/>
        <w:left w:val="none" w:sz="0" w:space="0" w:color="auto"/>
        <w:bottom w:val="none" w:sz="0" w:space="0" w:color="auto"/>
        <w:right w:val="none" w:sz="0" w:space="0" w:color="auto"/>
      </w:divBdr>
    </w:div>
    <w:div w:id="1792505693">
      <w:bodyDiv w:val="1"/>
      <w:marLeft w:val="0"/>
      <w:marRight w:val="0"/>
      <w:marTop w:val="0"/>
      <w:marBottom w:val="0"/>
      <w:divBdr>
        <w:top w:val="none" w:sz="0" w:space="0" w:color="auto"/>
        <w:left w:val="none" w:sz="0" w:space="0" w:color="auto"/>
        <w:bottom w:val="none" w:sz="0" w:space="0" w:color="auto"/>
        <w:right w:val="none" w:sz="0" w:space="0" w:color="auto"/>
      </w:divBdr>
    </w:div>
    <w:div w:id="1805002152">
      <w:bodyDiv w:val="1"/>
      <w:marLeft w:val="0"/>
      <w:marRight w:val="0"/>
      <w:marTop w:val="0"/>
      <w:marBottom w:val="0"/>
      <w:divBdr>
        <w:top w:val="none" w:sz="0" w:space="0" w:color="auto"/>
        <w:left w:val="none" w:sz="0" w:space="0" w:color="auto"/>
        <w:bottom w:val="none" w:sz="0" w:space="0" w:color="auto"/>
        <w:right w:val="none" w:sz="0" w:space="0" w:color="auto"/>
      </w:divBdr>
    </w:div>
    <w:div w:id="1817646428">
      <w:bodyDiv w:val="1"/>
      <w:marLeft w:val="0"/>
      <w:marRight w:val="0"/>
      <w:marTop w:val="0"/>
      <w:marBottom w:val="0"/>
      <w:divBdr>
        <w:top w:val="none" w:sz="0" w:space="0" w:color="auto"/>
        <w:left w:val="none" w:sz="0" w:space="0" w:color="auto"/>
        <w:bottom w:val="none" w:sz="0" w:space="0" w:color="auto"/>
        <w:right w:val="none" w:sz="0" w:space="0" w:color="auto"/>
      </w:divBdr>
    </w:div>
    <w:div w:id="1826435541">
      <w:bodyDiv w:val="1"/>
      <w:marLeft w:val="0"/>
      <w:marRight w:val="0"/>
      <w:marTop w:val="0"/>
      <w:marBottom w:val="0"/>
      <w:divBdr>
        <w:top w:val="none" w:sz="0" w:space="0" w:color="auto"/>
        <w:left w:val="none" w:sz="0" w:space="0" w:color="auto"/>
        <w:bottom w:val="none" w:sz="0" w:space="0" w:color="auto"/>
        <w:right w:val="none" w:sz="0" w:space="0" w:color="auto"/>
      </w:divBdr>
    </w:div>
    <w:div w:id="1852524769">
      <w:bodyDiv w:val="1"/>
      <w:marLeft w:val="0"/>
      <w:marRight w:val="0"/>
      <w:marTop w:val="0"/>
      <w:marBottom w:val="0"/>
      <w:divBdr>
        <w:top w:val="none" w:sz="0" w:space="0" w:color="auto"/>
        <w:left w:val="none" w:sz="0" w:space="0" w:color="auto"/>
        <w:bottom w:val="none" w:sz="0" w:space="0" w:color="auto"/>
        <w:right w:val="none" w:sz="0" w:space="0" w:color="auto"/>
      </w:divBdr>
    </w:div>
    <w:div w:id="2007589396">
      <w:bodyDiv w:val="1"/>
      <w:marLeft w:val="0"/>
      <w:marRight w:val="0"/>
      <w:marTop w:val="0"/>
      <w:marBottom w:val="0"/>
      <w:divBdr>
        <w:top w:val="none" w:sz="0" w:space="0" w:color="auto"/>
        <w:left w:val="none" w:sz="0" w:space="0" w:color="auto"/>
        <w:bottom w:val="none" w:sz="0" w:space="0" w:color="auto"/>
        <w:right w:val="none" w:sz="0" w:space="0" w:color="auto"/>
      </w:divBdr>
      <w:divsChild>
        <w:div w:id="378017760">
          <w:marLeft w:val="0"/>
          <w:marRight w:val="0"/>
          <w:marTop w:val="0"/>
          <w:marBottom w:val="0"/>
          <w:divBdr>
            <w:top w:val="none" w:sz="0" w:space="0" w:color="auto"/>
            <w:left w:val="none" w:sz="0" w:space="0" w:color="auto"/>
            <w:bottom w:val="none" w:sz="0" w:space="0" w:color="auto"/>
            <w:right w:val="none" w:sz="0" w:space="0" w:color="auto"/>
          </w:divBdr>
        </w:div>
        <w:div w:id="442842417">
          <w:marLeft w:val="0"/>
          <w:marRight w:val="0"/>
          <w:marTop w:val="0"/>
          <w:marBottom w:val="0"/>
          <w:divBdr>
            <w:top w:val="none" w:sz="0" w:space="0" w:color="auto"/>
            <w:left w:val="none" w:sz="0" w:space="0" w:color="auto"/>
            <w:bottom w:val="none" w:sz="0" w:space="0" w:color="auto"/>
            <w:right w:val="none" w:sz="0" w:space="0" w:color="auto"/>
          </w:divBdr>
        </w:div>
        <w:div w:id="462432880">
          <w:marLeft w:val="0"/>
          <w:marRight w:val="0"/>
          <w:marTop w:val="0"/>
          <w:marBottom w:val="0"/>
          <w:divBdr>
            <w:top w:val="none" w:sz="0" w:space="0" w:color="auto"/>
            <w:left w:val="none" w:sz="0" w:space="0" w:color="auto"/>
            <w:bottom w:val="none" w:sz="0" w:space="0" w:color="auto"/>
            <w:right w:val="none" w:sz="0" w:space="0" w:color="auto"/>
          </w:divBdr>
        </w:div>
        <w:div w:id="498354593">
          <w:marLeft w:val="0"/>
          <w:marRight w:val="0"/>
          <w:marTop w:val="0"/>
          <w:marBottom w:val="0"/>
          <w:divBdr>
            <w:top w:val="none" w:sz="0" w:space="0" w:color="auto"/>
            <w:left w:val="none" w:sz="0" w:space="0" w:color="auto"/>
            <w:bottom w:val="none" w:sz="0" w:space="0" w:color="auto"/>
            <w:right w:val="none" w:sz="0" w:space="0" w:color="auto"/>
          </w:divBdr>
        </w:div>
        <w:div w:id="816458471">
          <w:marLeft w:val="0"/>
          <w:marRight w:val="0"/>
          <w:marTop w:val="0"/>
          <w:marBottom w:val="0"/>
          <w:divBdr>
            <w:top w:val="none" w:sz="0" w:space="0" w:color="auto"/>
            <w:left w:val="none" w:sz="0" w:space="0" w:color="auto"/>
            <w:bottom w:val="none" w:sz="0" w:space="0" w:color="auto"/>
            <w:right w:val="none" w:sz="0" w:space="0" w:color="auto"/>
          </w:divBdr>
        </w:div>
        <w:div w:id="1801725842">
          <w:marLeft w:val="0"/>
          <w:marRight w:val="0"/>
          <w:marTop w:val="0"/>
          <w:marBottom w:val="0"/>
          <w:divBdr>
            <w:top w:val="none" w:sz="0" w:space="0" w:color="auto"/>
            <w:left w:val="none" w:sz="0" w:space="0" w:color="auto"/>
            <w:bottom w:val="none" w:sz="0" w:space="0" w:color="auto"/>
            <w:right w:val="none" w:sz="0" w:space="0" w:color="auto"/>
          </w:divBdr>
        </w:div>
      </w:divsChild>
    </w:div>
    <w:div w:id="2011787145">
      <w:bodyDiv w:val="1"/>
      <w:marLeft w:val="0"/>
      <w:marRight w:val="0"/>
      <w:marTop w:val="0"/>
      <w:marBottom w:val="0"/>
      <w:divBdr>
        <w:top w:val="none" w:sz="0" w:space="0" w:color="auto"/>
        <w:left w:val="none" w:sz="0" w:space="0" w:color="auto"/>
        <w:bottom w:val="none" w:sz="0" w:space="0" w:color="auto"/>
        <w:right w:val="none" w:sz="0" w:space="0" w:color="auto"/>
      </w:divBdr>
    </w:div>
    <w:div w:id="2031103739">
      <w:bodyDiv w:val="1"/>
      <w:marLeft w:val="0"/>
      <w:marRight w:val="0"/>
      <w:marTop w:val="0"/>
      <w:marBottom w:val="0"/>
      <w:divBdr>
        <w:top w:val="none" w:sz="0" w:space="0" w:color="auto"/>
        <w:left w:val="none" w:sz="0" w:space="0" w:color="auto"/>
        <w:bottom w:val="none" w:sz="0" w:space="0" w:color="auto"/>
        <w:right w:val="none" w:sz="0" w:space="0" w:color="auto"/>
      </w:divBdr>
    </w:div>
    <w:div w:id="2112507683">
      <w:bodyDiv w:val="1"/>
      <w:marLeft w:val="0"/>
      <w:marRight w:val="0"/>
      <w:marTop w:val="0"/>
      <w:marBottom w:val="0"/>
      <w:divBdr>
        <w:top w:val="none" w:sz="0" w:space="0" w:color="auto"/>
        <w:left w:val="none" w:sz="0" w:space="0" w:color="auto"/>
        <w:bottom w:val="none" w:sz="0" w:space="0" w:color="auto"/>
        <w:right w:val="none" w:sz="0" w:space="0" w:color="auto"/>
      </w:divBdr>
    </w:div>
    <w:div w:id="21143511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schwab.com/public/schwab/investing/accounts_products/investment/etfs/investor_information" TargetMode="External"/><Relationship Id="rId10" Type="http://schemas.openxmlformats.org/officeDocument/2006/relationships/image" Target="media/image1.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schwab.com/public/schwab/nn/articles/Understanding-Order-Types"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325B39-5414-4759-9DCC-9F27FF287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2714</Words>
  <Characters>15475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Charles Schwab &amp; Co. Inc.</Company>
  <LinksUpToDate>false</LinksUpToDate>
  <CharactersWithSpaces>18153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uChris</dc:creator>
  <cp:lastModifiedBy>Muscanere, Adrianne</cp:lastModifiedBy>
  <cp:revision>2</cp:revision>
  <cp:lastPrinted>2014-04-23T19:20:00Z</cp:lastPrinted>
  <dcterms:created xsi:type="dcterms:W3CDTF">2016-01-12T15:18:00Z</dcterms:created>
  <dcterms:modified xsi:type="dcterms:W3CDTF">2016-01-12T15:18:00Z</dcterms:modified>
</cp:coreProperties>
</file>